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800" w:lineRule="exact"/>
        <w:ind w:firstLine="0" w:firstLineChars="0"/>
        <w:jc w:val="center"/>
        <w:rPr>
          <w:rFonts w:eastAsia="黑体"/>
          <w:b/>
          <w:sz w:val="44"/>
          <w:szCs w:val="44"/>
        </w:rPr>
      </w:pPr>
      <w:bookmarkStart w:id="76" w:name="_GoBack"/>
      <w:r>
        <w:rPr>
          <w:rFonts w:hint="eastAsia" w:eastAsia="黑体"/>
          <w:b/>
          <w:sz w:val="44"/>
          <w:szCs w:val="44"/>
        </w:rPr>
        <w:t>珲春紫金矿业有限公司曙光金铜矿</w:t>
      </w:r>
    </w:p>
    <w:p>
      <w:pPr>
        <w:spacing w:beforeLines="0" w:afterLines="0" w:line="800" w:lineRule="exact"/>
        <w:ind w:firstLine="0" w:firstLineChars="0"/>
        <w:jc w:val="center"/>
        <w:rPr>
          <w:rFonts w:ascii="黑体" w:hAnsi="黑体" w:eastAsia="黑体"/>
          <w:b/>
          <w:sz w:val="44"/>
          <w:szCs w:val="44"/>
        </w:rPr>
      </w:pPr>
      <w:r>
        <w:rPr>
          <w:rFonts w:hint="eastAsia" w:eastAsia="黑体"/>
          <w:b/>
          <w:sz w:val="44"/>
          <w:szCs w:val="44"/>
        </w:rPr>
        <w:t>2020</w:t>
      </w:r>
      <w:r>
        <w:rPr>
          <w:rFonts w:hint="eastAsia" w:ascii="黑体" w:hAnsi="黑体" w:eastAsia="黑体"/>
          <w:b/>
          <w:sz w:val="44"/>
          <w:szCs w:val="44"/>
        </w:rPr>
        <w:t>年度</w:t>
      </w:r>
    </w:p>
    <w:p>
      <w:pPr>
        <w:spacing w:beforeLines="0" w:afterLines="0" w:line="800" w:lineRule="exact"/>
        <w:ind w:firstLine="0" w:firstLineChars="0"/>
        <w:jc w:val="center"/>
        <w:rPr>
          <w:rFonts w:ascii="黑体" w:hAnsi="黑体" w:eastAsia="黑体"/>
          <w:b/>
          <w:sz w:val="44"/>
          <w:szCs w:val="44"/>
        </w:rPr>
      </w:pPr>
      <w:r>
        <w:rPr>
          <w:rFonts w:hint="eastAsia" w:ascii="黑体" w:hAnsi="黑体" w:eastAsia="黑体"/>
          <w:b/>
          <w:sz w:val="44"/>
          <w:szCs w:val="44"/>
        </w:rPr>
        <w:t>环境信息公开报告</w:t>
      </w:r>
    </w:p>
    <w:bookmarkEnd w:id="76"/>
    <w:p>
      <w:pPr>
        <w:spacing w:before="152" w:after="152"/>
        <w:ind w:firstLine="0" w:firstLineChars="0"/>
        <w:jc w:val="center"/>
        <w:rPr>
          <w:rFonts w:ascii="黑体" w:hAnsi="黑体" w:eastAsia="黑体"/>
          <w:b/>
          <w:sz w:val="32"/>
          <w:szCs w:val="32"/>
        </w:rPr>
      </w:pPr>
      <w:r>
        <w:rPr>
          <w:rFonts w:ascii="宋体" w:hAnsi="宋体"/>
          <w:sz w:val="24"/>
          <w:szCs w:val="24"/>
        </w:rPr>
        <w:drawing>
          <wp:inline distT="0" distB="0" distL="0" distR="0">
            <wp:extent cx="5759450" cy="3750310"/>
            <wp:effectExtent l="19050" t="0" r="0" b="0"/>
            <wp:docPr id="1" name="图片 1" descr="F:\QQ 接收文件\矿区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QQ 接收文件\矿区全景.jpg"/>
                    <pic:cNvPicPr>
                      <a:picLocks noChangeAspect="1" noChangeArrowheads="1"/>
                    </pic:cNvPicPr>
                  </pic:nvPicPr>
                  <pic:blipFill>
                    <a:blip r:embed="rId15"/>
                    <a:srcRect/>
                    <a:stretch>
                      <a:fillRect/>
                    </a:stretch>
                  </pic:blipFill>
                  <pic:spPr>
                    <a:xfrm>
                      <a:off x="0" y="0"/>
                      <a:ext cx="5759450" cy="3750438"/>
                    </a:xfrm>
                    <a:prstGeom prst="rect">
                      <a:avLst/>
                    </a:prstGeom>
                    <a:noFill/>
                    <a:ln w="9525">
                      <a:noFill/>
                      <a:miter lim="800000"/>
                      <a:headEnd/>
                      <a:tailEnd/>
                    </a:ln>
                  </pic:spPr>
                </pic:pic>
              </a:graphicData>
            </a:graphic>
          </wp:inline>
        </w:drawing>
      </w:r>
    </w:p>
    <w:p>
      <w:pPr>
        <w:spacing w:before="152" w:after="152"/>
        <w:ind w:firstLine="0" w:firstLineChars="0"/>
        <w:jc w:val="center"/>
        <w:rPr>
          <w:rFonts w:ascii="黑体" w:hAnsi="黑体" w:eastAsia="黑体"/>
          <w:b/>
          <w:sz w:val="32"/>
          <w:szCs w:val="32"/>
        </w:rPr>
      </w:pPr>
    </w:p>
    <w:p>
      <w:pPr>
        <w:spacing w:before="152" w:after="152"/>
        <w:ind w:firstLine="0" w:firstLineChars="0"/>
        <w:jc w:val="center"/>
        <w:rPr>
          <w:rFonts w:ascii="黑体" w:hAnsi="黑体" w:eastAsia="黑体"/>
          <w:b/>
          <w:sz w:val="32"/>
          <w:szCs w:val="32"/>
        </w:rPr>
      </w:pPr>
    </w:p>
    <w:p>
      <w:pPr>
        <w:spacing w:before="152" w:after="152"/>
        <w:ind w:firstLine="0" w:firstLineChars="0"/>
        <w:jc w:val="center"/>
        <w:rPr>
          <w:rFonts w:ascii="黑体" w:hAnsi="黑体" w:eastAsia="黑体"/>
          <w:b/>
          <w:sz w:val="32"/>
          <w:szCs w:val="32"/>
        </w:rPr>
      </w:pPr>
      <w:r>
        <w:rPr>
          <w:rFonts w:hint="eastAsia" w:ascii="黑体" w:hAnsi="黑体" w:eastAsia="黑体"/>
          <w:b/>
          <w:sz w:val="32"/>
          <w:szCs w:val="32"/>
        </w:rPr>
        <w:t>珲春紫金矿业有限公司曙光金铜矿</w:t>
      </w:r>
    </w:p>
    <w:p>
      <w:pPr>
        <w:spacing w:before="152" w:after="152"/>
        <w:ind w:firstLine="0" w:firstLineChars="0"/>
        <w:jc w:val="center"/>
        <w:rPr>
          <w:rFonts w:ascii="黑体" w:hAnsi="黑体" w:eastAsia="黑体"/>
          <w:b/>
          <w:spacing w:val="20"/>
          <w:sz w:val="32"/>
          <w:szCs w:val="32"/>
        </w:rPr>
      </w:pPr>
      <w:r>
        <w:rPr>
          <w:rFonts w:hint="eastAsia" w:ascii="黑体" w:hAnsi="黑体" w:eastAsia="黑体"/>
          <w:b/>
          <w:sz w:val="32"/>
          <w:szCs w:val="32"/>
        </w:rPr>
        <w:t>二〇二一年三月</w:t>
      </w:r>
    </w:p>
    <w:p>
      <w:pPr>
        <w:adjustRightInd w:val="0"/>
        <w:snapToGrid w:val="0"/>
        <w:spacing w:beforeLines="0" w:afterLines="0" w:line="240" w:lineRule="auto"/>
        <w:ind w:firstLine="0" w:firstLineChars="0"/>
        <w:jc w:val="center"/>
        <w:outlineLvl w:val="0"/>
        <w:rPr>
          <w:rFonts w:ascii="宋体" w:hAnsi="宋体"/>
          <w:spacing w:val="2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1304" w:gutter="0"/>
          <w:pgNumType w:start="1"/>
          <w:cols w:space="720" w:num="1"/>
          <w:docGrid w:type="lines" w:linePitch="381" w:charSpace="0"/>
        </w:sectPr>
      </w:pPr>
    </w:p>
    <w:p>
      <w:pPr>
        <w:pStyle w:val="15"/>
        <w:snapToGrid w:val="0"/>
        <w:spacing w:line="360" w:lineRule="auto"/>
        <w:jc w:val="center"/>
        <w:rPr>
          <w:rFonts w:ascii="黑体" w:hAnsi="黑体" w:eastAsia="黑体"/>
          <w:color w:val="auto"/>
          <w:sz w:val="32"/>
          <w:szCs w:val="32"/>
          <w:lang w:val="zh-CN"/>
        </w:rPr>
      </w:pPr>
      <w:r>
        <w:rPr>
          <w:rFonts w:ascii="黑体" w:hAnsi="黑体" w:eastAsia="黑体"/>
          <w:color w:val="auto"/>
          <w:sz w:val="32"/>
          <w:szCs w:val="32"/>
          <w:lang w:val="zh-CN"/>
        </w:rPr>
        <w:t>目</w:t>
      </w:r>
      <w:r>
        <w:rPr>
          <w:rFonts w:hint="eastAsia" w:ascii="黑体" w:hAnsi="黑体" w:eastAsia="黑体"/>
          <w:color w:val="auto"/>
          <w:sz w:val="32"/>
          <w:szCs w:val="32"/>
          <w:lang w:val="zh-CN"/>
        </w:rPr>
        <w:t xml:space="preserve"> </w:t>
      </w:r>
      <w:r>
        <w:rPr>
          <w:rFonts w:ascii="黑体" w:hAnsi="黑体" w:eastAsia="黑体"/>
          <w:color w:val="auto"/>
          <w:sz w:val="32"/>
          <w:szCs w:val="32"/>
          <w:lang w:val="zh-CN"/>
        </w:rPr>
        <w:t xml:space="preserve"> 录</w:t>
      </w:r>
    </w:p>
    <w:p>
      <w:pPr>
        <w:pStyle w:val="8"/>
        <w:snapToGrid w:val="0"/>
        <w:spacing w:line="360" w:lineRule="auto"/>
        <w:rPr>
          <w:rFonts w:eastAsia="仿宋_GB2312"/>
          <w:b w:val="0"/>
        </w:rPr>
      </w:pPr>
      <w:r>
        <w:rPr>
          <w:rFonts w:eastAsia="仿宋_GB2312"/>
          <w:b w:val="0"/>
        </w:rPr>
        <w:fldChar w:fldCharType="begin"/>
      </w:r>
      <w:r>
        <w:rPr>
          <w:rFonts w:eastAsia="仿宋_GB2312"/>
          <w:b w:val="0"/>
        </w:rPr>
        <w:instrText xml:space="preserve"> TOC \o "1-2" \h \z \u </w:instrText>
      </w:r>
      <w:r>
        <w:rPr>
          <w:rFonts w:eastAsia="仿宋_GB2312"/>
          <w:b w:val="0"/>
        </w:rPr>
        <w:fldChar w:fldCharType="separate"/>
      </w:r>
      <w:r>
        <w:fldChar w:fldCharType="begin"/>
      </w:r>
      <w:r>
        <w:instrText xml:space="preserve"> HYPERLINK \l "_Toc66281430" </w:instrText>
      </w:r>
      <w:r>
        <w:fldChar w:fldCharType="separate"/>
      </w:r>
      <w:r>
        <w:rPr>
          <w:rStyle w:val="14"/>
          <w:rFonts w:eastAsia="仿宋_GB2312"/>
        </w:rPr>
        <w:t>1 企业基本情况</w:t>
      </w:r>
      <w:r>
        <w:rPr>
          <w:rFonts w:eastAsia="仿宋_GB2312"/>
        </w:rPr>
        <w:tab/>
      </w:r>
      <w:r>
        <w:rPr>
          <w:rFonts w:eastAsia="仿宋_GB2312"/>
        </w:rPr>
        <w:fldChar w:fldCharType="begin"/>
      </w:r>
      <w:r>
        <w:rPr>
          <w:rFonts w:eastAsia="仿宋_GB2312"/>
        </w:rPr>
        <w:instrText xml:space="preserve"> PAGEREF _Toc66281430 \h </w:instrText>
      </w:r>
      <w:r>
        <w:rPr>
          <w:rFonts w:eastAsia="仿宋_GB2312"/>
        </w:rPr>
        <w:fldChar w:fldCharType="separate"/>
      </w:r>
      <w:r>
        <w:rPr>
          <w:rFonts w:eastAsia="仿宋_GB2312"/>
        </w:rPr>
        <w:t>1</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"_Toc66281431" </w:instrText>
      </w:r>
      <w:r>
        <w:fldChar w:fldCharType="separate"/>
      </w:r>
      <w:r>
        <w:rPr>
          <w:rStyle w:val="14"/>
          <w:rFonts w:eastAsia="仿宋_GB2312"/>
          <w:sz w:val="24"/>
          <w:szCs w:val="24"/>
        </w:rPr>
        <w:t>1.1 企业介绍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_Toc66281431 \h </w:instrText>
      </w:r>
      <w:r>
        <w:rPr>
          <w:rFonts w:eastAsia="仿宋_GB2312"/>
          <w:sz w:val="24"/>
          <w:szCs w:val="24"/>
        </w:rPr>
        <w:fldChar w:fldCharType="separate"/>
      </w:r>
      <w:r>
        <w:rPr>
          <w:rFonts w:eastAsia="仿宋_GB2312"/>
          <w:sz w:val="24"/>
          <w:szCs w:val="24"/>
        </w:rPr>
        <w:t>1</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"_Toc66281432" </w:instrText>
      </w:r>
      <w:r>
        <w:fldChar w:fldCharType="separate"/>
      </w:r>
      <w:r>
        <w:rPr>
          <w:rStyle w:val="14"/>
          <w:rFonts w:eastAsia="仿宋_GB2312"/>
          <w:sz w:val="24"/>
          <w:szCs w:val="24"/>
        </w:rPr>
        <w:t>1.2 环保机构情况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_Toc66281432 \h </w:instrText>
      </w:r>
      <w:r>
        <w:rPr>
          <w:rFonts w:eastAsia="仿宋_GB2312"/>
          <w:sz w:val="24"/>
          <w:szCs w:val="24"/>
        </w:rPr>
        <w:fldChar w:fldCharType="separate"/>
      </w:r>
      <w:r>
        <w:rPr>
          <w:rFonts w:eastAsia="仿宋_GB2312"/>
          <w:sz w:val="24"/>
          <w:szCs w:val="24"/>
        </w:rPr>
        <w:t>1</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"_Toc66281433" </w:instrText>
      </w:r>
      <w:r>
        <w:fldChar w:fldCharType="separate"/>
      </w:r>
      <w:r>
        <w:rPr>
          <w:rStyle w:val="14"/>
          <w:rFonts w:eastAsia="仿宋_GB2312"/>
          <w:sz w:val="24"/>
          <w:szCs w:val="24"/>
        </w:rPr>
        <w:t>1.3生产经营情况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_Toc66281433 \h </w:instrText>
      </w:r>
      <w:r>
        <w:rPr>
          <w:rFonts w:eastAsia="仿宋_GB2312"/>
          <w:sz w:val="24"/>
          <w:szCs w:val="24"/>
        </w:rPr>
        <w:fldChar w:fldCharType="separate"/>
      </w:r>
      <w:r>
        <w:rPr>
          <w:rFonts w:eastAsia="仿宋_GB2312"/>
          <w:sz w:val="24"/>
          <w:szCs w:val="24"/>
        </w:rPr>
        <w:t>2</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"_Toc66281434" </w:instrText>
      </w:r>
      <w:r>
        <w:fldChar w:fldCharType="separate"/>
      </w:r>
      <w:r>
        <w:rPr>
          <w:rStyle w:val="14"/>
          <w:rFonts w:eastAsia="仿宋_GB2312"/>
        </w:rPr>
        <w:t>2 污染防治设施的建设和运行情况</w:t>
      </w:r>
      <w:r>
        <w:rPr>
          <w:rFonts w:eastAsia="仿宋_GB2312"/>
        </w:rPr>
        <w:tab/>
      </w:r>
      <w:r>
        <w:rPr>
          <w:rFonts w:eastAsia="仿宋_GB2312"/>
        </w:rPr>
        <w:fldChar w:fldCharType="begin"/>
      </w:r>
      <w:r>
        <w:rPr>
          <w:rFonts w:eastAsia="仿宋_GB2312"/>
        </w:rPr>
        <w:instrText xml:space="preserve"> PAGEREF _Toc66281434 \h </w:instrText>
      </w:r>
      <w:r>
        <w:rPr>
          <w:rFonts w:eastAsia="仿宋_GB2312"/>
        </w:rPr>
        <w:fldChar w:fldCharType="separate"/>
      </w:r>
      <w:r>
        <w:rPr>
          <w:rFonts w:eastAsia="仿宋_GB2312"/>
        </w:rPr>
        <w:t>5</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"_Toc66281435" </w:instrText>
      </w:r>
      <w:r>
        <w:fldChar w:fldCharType="separate"/>
      </w:r>
      <w:r>
        <w:rPr>
          <w:rStyle w:val="14"/>
          <w:rFonts w:eastAsia="仿宋_GB2312"/>
          <w:sz w:val="24"/>
          <w:szCs w:val="24"/>
        </w:rPr>
        <w:t>2.1 废气污染防治设施</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_Toc66281435 \h </w:instrText>
      </w:r>
      <w:r>
        <w:rPr>
          <w:rFonts w:eastAsia="仿宋_GB2312"/>
          <w:sz w:val="24"/>
          <w:szCs w:val="24"/>
        </w:rPr>
        <w:fldChar w:fldCharType="separate"/>
      </w:r>
      <w:r>
        <w:rPr>
          <w:rFonts w:eastAsia="仿宋_GB2312"/>
          <w:sz w:val="24"/>
          <w:szCs w:val="24"/>
        </w:rPr>
        <w:t>5</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"_Toc66281436" </w:instrText>
      </w:r>
      <w:r>
        <w:fldChar w:fldCharType="separate"/>
      </w:r>
      <w:r>
        <w:rPr>
          <w:rStyle w:val="14"/>
          <w:rFonts w:eastAsia="仿宋_GB2312"/>
          <w:sz w:val="24"/>
          <w:szCs w:val="24"/>
        </w:rPr>
        <w:t>2.2 废水污染防治设施</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_Toc66281436 \h </w:instrText>
      </w:r>
      <w:r>
        <w:rPr>
          <w:rFonts w:eastAsia="仿宋_GB2312"/>
          <w:sz w:val="24"/>
          <w:szCs w:val="24"/>
        </w:rPr>
        <w:fldChar w:fldCharType="separate"/>
      </w:r>
      <w:r>
        <w:rPr>
          <w:rFonts w:eastAsia="仿宋_GB2312"/>
          <w:sz w:val="24"/>
          <w:szCs w:val="24"/>
        </w:rPr>
        <w:t>7</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"_Toc66281437" </w:instrText>
      </w:r>
      <w:r>
        <w:fldChar w:fldCharType="separate"/>
      </w:r>
      <w:r>
        <w:rPr>
          <w:rStyle w:val="14"/>
          <w:rFonts w:eastAsia="仿宋_GB2312"/>
          <w:sz w:val="24"/>
          <w:szCs w:val="24"/>
        </w:rPr>
        <w:t>2.3 固体废物污染防治措施</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_Toc66281437 \h </w:instrText>
      </w:r>
      <w:r>
        <w:rPr>
          <w:rFonts w:eastAsia="仿宋_GB2312"/>
          <w:sz w:val="24"/>
          <w:szCs w:val="24"/>
        </w:rPr>
        <w:fldChar w:fldCharType="separate"/>
      </w:r>
      <w:r>
        <w:rPr>
          <w:rFonts w:eastAsia="仿宋_GB2312"/>
          <w:sz w:val="24"/>
          <w:szCs w:val="24"/>
        </w:rPr>
        <w:t>8</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"_Toc66281438" </w:instrText>
      </w:r>
      <w:r>
        <w:fldChar w:fldCharType="separate"/>
      </w:r>
      <w:r>
        <w:rPr>
          <w:rStyle w:val="14"/>
          <w:rFonts w:eastAsia="仿宋_GB2312"/>
        </w:rPr>
        <w:t>3 污染物排放情况</w:t>
      </w:r>
      <w:r>
        <w:rPr>
          <w:rFonts w:eastAsia="仿宋_GB2312"/>
        </w:rPr>
        <w:tab/>
      </w:r>
      <w:r>
        <w:rPr>
          <w:rFonts w:eastAsia="仿宋_GB2312"/>
        </w:rPr>
        <w:fldChar w:fldCharType="begin"/>
      </w:r>
      <w:r>
        <w:rPr>
          <w:rFonts w:eastAsia="仿宋_GB2312"/>
        </w:rPr>
        <w:instrText xml:space="preserve"> PAGEREF _Toc66281438 \h </w:instrText>
      </w:r>
      <w:r>
        <w:rPr>
          <w:rFonts w:eastAsia="仿宋_GB2312"/>
        </w:rPr>
        <w:fldChar w:fldCharType="separate"/>
      </w:r>
      <w:r>
        <w:rPr>
          <w:rFonts w:eastAsia="仿宋_GB2312"/>
        </w:rPr>
        <w:t>9</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"_Toc66281439" </w:instrText>
      </w:r>
      <w:r>
        <w:fldChar w:fldCharType="separate"/>
      </w:r>
      <w:r>
        <w:rPr>
          <w:rStyle w:val="14"/>
          <w:rFonts w:eastAsia="仿宋_GB2312"/>
          <w:sz w:val="24"/>
          <w:szCs w:val="24"/>
        </w:rPr>
        <w:t>3.1污染物达标排放情况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_Toc66281439 \h </w:instrText>
      </w:r>
      <w:r>
        <w:rPr>
          <w:rFonts w:eastAsia="仿宋_GB2312"/>
          <w:sz w:val="24"/>
          <w:szCs w:val="24"/>
        </w:rPr>
        <w:fldChar w:fldCharType="separate"/>
      </w:r>
      <w:r>
        <w:rPr>
          <w:rFonts w:eastAsia="仿宋_GB2312"/>
          <w:sz w:val="24"/>
          <w:szCs w:val="24"/>
        </w:rPr>
        <w:t>9</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"_Toc66281440" </w:instrText>
      </w:r>
      <w:r>
        <w:fldChar w:fldCharType="separate"/>
      </w:r>
      <w:r>
        <w:rPr>
          <w:rStyle w:val="14"/>
          <w:rFonts w:eastAsia="仿宋_GB2312"/>
          <w:sz w:val="24"/>
          <w:szCs w:val="24"/>
        </w:rPr>
        <w:t>3.2 固体废物排放情况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_Toc66281440 \h </w:instrText>
      </w:r>
      <w:r>
        <w:rPr>
          <w:rFonts w:eastAsia="仿宋_GB2312"/>
          <w:sz w:val="24"/>
          <w:szCs w:val="24"/>
        </w:rPr>
        <w:fldChar w:fldCharType="separate"/>
      </w:r>
      <w:r>
        <w:rPr>
          <w:rFonts w:eastAsia="仿宋_GB2312"/>
          <w:sz w:val="24"/>
          <w:szCs w:val="24"/>
        </w:rPr>
        <w:t>11</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"_Toc66281441" </w:instrText>
      </w:r>
      <w:r>
        <w:fldChar w:fldCharType="separate"/>
      </w:r>
      <w:r>
        <w:rPr>
          <w:rStyle w:val="14"/>
          <w:rFonts w:eastAsia="仿宋_GB2312"/>
          <w:sz w:val="24"/>
          <w:szCs w:val="24"/>
        </w:rPr>
        <w:t>3.3 企业自行监测方案</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_Toc66281441 \h </w:instrText>
      </w:r>
      <w:r>
        <w:rPr>
          <w:rFonts w:eastAsia="仿宋_GB2312"/>
          <w:sz w:val="24"/>
          <w:szCs w:val="24"/>
        </w:rPr>
        <w:fldChar w:fldCharType="separate"/>
      </w:r>
      <w:r>
        <w:rPr>
          <w:rFonts w:eastAsia="仿宋_GB2312"/>
          <w:sz w:val="24"/>
          <w:szCs w:val="24"/>
        </w:rPr>
        <w:t>12</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"_Toc66281442" </w:instrText>
      </w:r>
      <w:r>
        <w:fldChar w:fldCharType="separate"/>
      </w:r>
      <w:r>
        <w:rPr>
          <w:rStyle w:val="14"/>
          <w:rFonts w:eastAsia="仿宋_GB2312"/>
        </w:rPr>
        <w:t>4 环境管理情况</w:t>
      </w:r>
      <w:r>
        <w:rPr>
          <w:rFonts w:eastAsia="仿宋_GB2312"/>
        </w:rPr>
        <w:tab/>
      </w:r>
      <w:r>
        <w:rPr>
          <w:rFonts w:eastAsia="仿宋_GB2312"/>
        </w:rPr>
        <w:fldChar w:fldCharType="begin"/>
      </w:r>
      <w:r>
        <w:rPr>
          <w:rFonts w:eastAsia="仿宋_GB2312"/>
        </w:rPr>
        <w:instrText xml:space="preserve"> PAGEREF _Toc66281442 \h </w:instrText>
      </w:r>
      <w:r>
        <w:rPr>
          <w:rFonts w:eastAsia="仿宋_GB2312"/>
        </w:rPr>
        <w:fldChar w:fldCharType="separate"/>
      </w:r>
      <w:r>
        <w:rPr>
          <w:rFonts w:eastAsia="仿宋_GB2312"/>
        </w:rPr>
        <w:t>14</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"_Toc66281443" </w:instrText>
      </w:r>
      <w:r>
        <w:fldChar w:fldCharType="separate"/>
      </w:r>
      <w:r>
        <w:rPr>
          <w:rStyle w:val="14"/>
          <w:rFonts w:eastAsia="仿宋_GB2312"/>
          <w:sz w:val="24"/>
          <w:szCs w:val="24"/>
        </w:rPr>
        <w:t>4.1 建设项目环境影响评价和“三同时”制度执行情况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_Toc66281443 \h </w:instrText>
      </w:r>
      <w:r>
        <w:rPr>
          <w:rFonts w:eastAsia="仿宋_GB2312"/>
          <w:sz w:val="24"/>
          <w:szCs w:val="24"/>
        </w:rPr>
        <w:fldChar w:fldCharType="separate"/>
      </w:r>
      <w:r>
        <w:rPr>
          <w:rFonts w:eastAsia="仿宋_GB2312"/>
          <w:sz w:val="24"/>
          <w:szCs w:val="24"/>
        </w:rPr>
        <w:t>14</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"_Toc66281444" </w:instrText>
      </w:r>
      <w:r>
        <w:fldChar w:fldCharType="separate"/>
      </w:r>
      <w:r>
        <w:rPr>
          <w:rStyle w:val="14"/>
          <w:rFonts w:eastAsia="仿宋_GB2312"/>
          <w:sz w:val="24"/>
          <w:szCs w:val="24"/>
        </w:rPr>
        <w:t>4.2 技改及落后产能淘汰情况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_Toc66281444 \h </w:instrText>
      </w:r>
      <w:r>
        <w:rPr>
          <w:rFonts w:eastAsia="仿宋_GB2312"/>
          <w:sz w:val="24"/>
          <w:szCs w:val="24"/>
        </w:rPr>
        <w:fldChar w:fldCharType="separate"/>
      </w:r>
      <w:r>
        <w:rPr>
          <w:rFonts w:eastAsia="仿宋_GB2312"/>
          <w:sz w:val="24"/>
          <w:szCs w:val="24"/>
        </w:rPr>
        <w:t>27</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"_Toc66281445" </w:instrText>
      </w:r>
      <w:r>
        <w:fldChar w:fldCharType="separate"/>
      </w:r>
      <w:r>
        <w:rPr>
          <w:rStyle w:val="14"/>
          <w:rFonts w:eastAsia="仿宋_GB2312"/>
          <w:sz w:val="24"/>
          <w:szCs w:val="24"/>
        </w:rPr>
        <w:t>4.3 环保行政许可情况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_Toc66281445 \h </w:instrText>
      </w:r>
      <w:r>
        <w:rPr>
          <w:rFonts w:eastAsia="仿宋_GB2312"/>
          <w:sz w:val="24"/>
          <w:szCs w:val="24"/>
        </w:rPr>
        <w:fldChar w:fldCharType="separate"/>
      </w:r>
      <w:r>
        <w:rPr>
          <w:rFonts w:eastAsia="仿宋_GB2312"/>
          <w:sz w:val="24"/>
          <w:szCs w:val="24"/>
        </w:rPr>
        <w:t>27</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"_Toc66281446" </w:instrText>
      </w:r>
      <w:r>
        <w:fldChar w:fldCharType="separate"/>
      </w:r>
      <w:r>
        <w:rPr>
          <w:rStyle w:val="14"/>
          <w:rFonts w:eastAsia="仿宋_GB2312"/>
          <w:sz w:val="24"/>
          <w:szCs w:val="24"/>
        </w:rPr>
        <w:t>4.4 环保税缴纳情况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_Toc66281446 \h </w:instrText>
      </w:r>
      <w:r>
        <w:rPr>
          <w:rFonts w:eastAsia="仿宋_GB2312"/>
          <w:sz w:val="24"/>
          <w:szCs w:val="24"/>
        </w:rPr>
        <w:fldChar w:fldCharType="separate"/>
      </w:r>
      <w:r>
        <w:rPr>
          <w:rFonts w:eastAsia="仿宋_GB2312"/>
          <w:sz w:val="24"/>
          <w:szCs w:val="24"/>
        </w:rPr>
        <w:t>27</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"_Toc66281447" </w:instrText>
      </w:r>
      <w:r>
        <w:fldChar w:fldCharType="separate"/>
      </w:r>
      <w:r>
        <w:rPr>
          <w:rStyle w:val="14"/>
          <w:rFonts w:eastAsia="仿宋_GB2312"/>
        </w:rPr>
        <w:t>5 突发环境事件应急预案及演练情况</w:t>
      </w:r>
      <w:r>
        <w:rPr>
          <w:rFonts w:eastAsia="仿宋_GB2312"/>
        </w:rPr>
        <w:tab/>
      </w:r>
      <w:r>
        <w:rPr>
          <w:rFonts w:eastAsia="仿宋_GB2312"/>
        </w:rPr>
        <w:fldChar w:fldCharType="begin"/>
      </w:r>
      <w:r>
        <w:rPr>
          <w:rFonts w:eastAsia="仿宋_GB2312"/>
        </w:rPr>
        <w:instrText xml:space="preserve"> PAGEREF _Toc66281447 \h </w:instrText>
      </w:r>
      <w:r>
        <w:rPr>
          <w:rFonts w:eastAsia="仿宋_GB2312"/>
        </w:rPr>
        <w:fldChar w:fldCharType="separate"/>
      </w:r>
      <w:r>
        <w:rPr>
          <w:rFonts w:eastAsia="仿宋_GB2312"/>
        </w:rPr>
        <w:t>28</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"_Toc66281448" </w:instrText>
      </w:r>
      <w:r>
        <w:fldChar w:fldCharType="separate"/>
      </w:r>
      <w:r>
        <w:rPr>
          <w:rStyle w:val="14"/>
          <w:rFonts w:eastAsia="仿宋_GB2312"/>
          <w:sz w:val="24"/>
          <w:szCs w:val="24"/>
        </w:rPr>
        <w:t>5.1 突发环境事件应急预案</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_Toc66281448 \h </w:instrText>
      </w:r>
      <w:r>
        <w:rPr>
          <w:rFonts w:eastAsia="仿宋_GB2312"/>
          <w:sz w:val="24"/>
          <w:szCs w:val="24"/>
        </w:rPr>
        <w:fldChar w:fldCharType="separate"/>
      </w:r>
      <w:r>
        <w:rPr>
          <w:rFonts w:eastAsia="仿宋_GB2312"/>
          <w:sz w:val="24"/>
          <w:szCs w:val="24"/>
        </w:rPr>
        <w:t>28</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"_Toc66281449" </w:instrText>
      </w:r>
      <w:r>
        <w:fldChar w:fldCharType="separate"/>
      </w:r>
      <w:r>
        <w:rPr>
          <w:rStyle w:val="14"/>
          <w:rFonts w:eastAsia="仿宋_GB2312"/>
          <w:sz w:val="24"/>
          <w:szCs w:val="24"/>
        </w:rPr>
        <w:t>5.2 突发环境事件发生情况</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_Toc66281449 \h </w:instrText>
      </w:r>
      <w:r>
        <w:rPr>
          <w:rFonts w:eastAsia="仿宋_GB2312"/>
          <w:sz w:val="24"/>
          <w:szCs w:val="24"/>
        </w:rPr>
        <w:fldChar w:fldCharType="separate"/>
      </w:r>
      <w:r>
        <w:rPr>
          <w:rFonts w:eastAsia="仿宋_GB2312"/>
          <w:sz w:val="24"/>
          <w:szCs w:val="24"/>
        </w:rPr>
        <w:t>29</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"_Toc66281450" </w:instrText>
      </w:r>
      <w:r>
        <w:fldChar w:fldCharType="separate"/>
      </w:r>
      <w:r>
        <w:rPr>
          <w:rStyle w:val="14"/>
          <w:rFonts w:eastAsia="仿宋_GB2312"/>
        </w:rPr>
        <w:t>6 清洁生产实施情况</w:t>
      </w:r>
      <w:r>
        <w:rPr>
          <w:rFonts w:eastAsia="仿宋_GB2312"/>
        </w:rPr>
        <w:tab/>
      </w:r>
      <w:r>
        <w:rPr>
          <w:rFonts w:eastAsia="仿宋_GB2312"/>
        </w:rPr>
        <w:fldChar w:fldCharType="begin"/>
      </w:r>
      <w:r>
        <w:rPr>
          <w:rFonts w:eastAsia="仿宋_GB2312"/>
        </w:rPr>
        <w:instrText xml:space="preserve"> PAGEREF _Toc66281450 \h </w:instrText>
      </w:r>
      <w:r>
        <w:rPr>
          <w:rFonts w:eastAsia="仿宋_GB2312"/>
        </w:rPr>
        <w:fldChar w:fldCharType="separate"/>
      </w:r>
      <w:r>
        <w:rPr>
          <w:rFonts w:eastAsia="仿宋_GB2312"/>
        </w:rPr>
        <w:t>32</w:t>
      </w:r>
      <w:r>
        <w:rPr>
          <w:rFonts w:eastAsia="仿宋_GB2312"/>
        </w:rPr>
        <w:fldChar w:fldCharType="end"/>
      </w:r>
      <w:r>
        <w:rPr>
          <w:rFonts w:eastAsia="仿宋_GB2312"/>
        </w:rPr>
        <w:fldChar w:fldCharType="end"/>
      </w:r>
    </w:p>
    <w:p>
      <w:pPr>
        <w:pStyle w:val="8"/>
        <w:snapToGrid w:val="0"/>
        <w:spacing w:line="360" w:lineRule="auto"/>
        <w:rPr>
          <w:rFonts w:eastAsia="仿宋_GB2312"/>
          <w:b w:val="0"/>
        </w:rPr>
      </w:pPr>
      <w:r>
        <w:fldChar w:fldCharType="begin"/>
      </w:r>
      <w:r>
        <w:instrText xml:space="preserve"> HYPERLINK \l "_Toc66281451" </w:instrText>
      </w:r>
      <w:r>
        <w:fldChar w:fldCharType="separate"/>
      </w:r>
      <w:r>
        <w:rPr>
          <w:rStyle w:val="14"/>
          <w:rFonts w:eastAsia="仿宋_GB2312"/>
        </w:rPr>
        <w:t>7 受到环保行政处罚情况</w:t>
      </w:r>
      <w:r>
        <w:rPr>
          <w:rFonts w:eastAsia="仿宋_GB2312"/>
        </w:rPr>
        <w:tab/>
      </w:r>
      <w:r>
        <w:rPr>
          <w:rFonts w:eastAsia="仿宋_GB2312"/>
        </w:rPr>
        <w:fldChar w:fldCharType="begin"/>
      </w:r>
      <w:r>
        <w:rPr>
          <w:rFonts w:eastAsia="仿宋_GB2312"/>
        </w:rPr>
        <w:instrText xml:space="preserve"> PAGEREF _Toc66281451 \h </w:instrText>
      </w:r>
      <w:r>
        <w:rPr>
          <w:rFonts w:eastAsia="仿宋_GB2312"/>
        </w:rPr>
        <w:fldChar w:fldCharType="separate"/>
      </w:r>
      <w:r>
        <w:rPr>
          <w:rFonts w:eastAsia="仿宋_GB2312"/>
        </w:rPr>
        <w:t>33</w:t>
      </w:r>
      <w:r>
        <w:rPr>
          <w:rFonts w:eastAsia="仿宋_GB2312"/>
        </w:rPr>
        <w:fldChar w:fldCharType="end"/>
      </w:r>
      <w:r>
        <w:rPr>
          <w:rFonts w:eastAsia="仿宋_GB2312"/>
        </w:rPr>
        <w:fldChar w:fldCharType="end"/>
      </w:r>
    </w:p>
    <w:p>
      <w:pPr>
        <w:pStyle w:val="8"/>
        <w:snapToGrid w:val="0"/>
        <w:spacing w:line="360" w:lineRule="auto"/>
        <w:rPr>
          <w:rFonts w:eastAsia="仿宋_GB2312"/>
          <w:b w:val="0"/>
        </w:rPr>
      </w:pPr>
      <w:r>
        <w:fldChar w:fldCharType="begin"/>
      </w:r>
      <w:r>
        <w:instrText xml:space="preserve"> HYPERLINK \l "_Toc66281452" </w:instrText>
      </w:r>
      <w:r>
        <w:fldChar w:fldCharType="separate"/>
      </w:r>
      <w:r>
        <w:rPr>
          <w:rStyle w:val="14"/>
          <w:rFonts w:eastAsia="仿宋_GB2312"/>
        </w:rPr>
        <w:t>8 环保工作总结及改进计划</w:t>
      </w:r>
      <w:r>
        <w:rPr>
          <w:rFonts w:eastAsia="仿宋_GB2312"/>
        </w:rPr>
        <w:tab/>
      </w:r>
      <w:r>
        <w:rPr>
          <w:rFonts w:eastAsia="仿宋_GB2312"/>
        </w:rPr>
        <w:fldChar w:fldCharType="begin"/>
      </w:r>
      <w:r>
        <w:rPr>
          <w:rFonts w:eastAsia="仿宋_GB2312"/>
        </w:rPr>
        <w:instrText xml:space="preserve"> PAGEREF _Toc66281452 \h </w:instrText>
      </w:r>
      <w:r>
        <w:rPr>
          <w:rFonts w:eastAsia="仿宋_GB2312"/>
        </w:rPr>
        <w:fldChar w:fldCharType="separate"/>
      </w:r>
      <w:r>
        <w:rPr>
          <w:rFonts w:eastAsia="仿宋_GB2312"/>
        </w:rPr>
        <w:t>34</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"_Toc66281453" </w:instrText>
      </w:r>
      <w:r>
        <w:fldChar w:fldCharType="separate"/>
      </w:r>
      <w:r>
        <w:rPr>
          <w:rStyle w:val="14"/>
          <w:rFonts w:eastAsia="仿宋_GB2312"/>
          <w:sz w:val="24"/>
          <w:szCs w:val="24"/>
        </w:rPr>
        <w:t>8.1 2020年环保工作总结</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_Toc66281453 \h </w:instrText>
      </w:r>
      <w:r>
        <w:rPr>
          <w:rFonts w:eastAsia="仿宋_GB2312"/>
          <w:sz w:val="24"/>
          <w:szCs w:val="24"/>
        </w:rPr>
        <w:fldChar w:fldCharType="separate"/>
      </w:r>
      <w:r>
        <w:rPr>
          <w:rFonts w:eastAsia="仿宋_GB2312"/>
          <w:sz w:val="24"/>
          <w:szCs w:val="24"/>
        </w:rPr>
        <w:t>34</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"_Toc66281454" </w:instrText>
      </w:r>
      <w:r>
        <w:fldChar w:fldCharType="separate"/>
      </w:r>
      <w:r>
        <w:rPr>
          <w:rStyle w:val="14"/>
          <w:rFonts w:eastAsia="仿宋_GB2312"/>
          <w:sz w:val="24"/>
          <w:szCs w:val="24"/>
        </w:rPr>
        <w:t>8.2 2021年环保工作计划</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_Toc66281454 \h </w:instrText>
      </w:r>
      <w:r>
        <w:rPr>
          <w:rFonts w:eastAsia="仿宋_GB2312"/>
          <w:sz w:val="24"/>
          <w:szCs w:val="24"/>
        </w:rPr>
        <w:fldChar w:fldCharType="separate"/>
      </w:r>
      <w:r>
        <w:rPr>
          <w:rFonts w:eastAsia="仿宋_GB2312"/>
          <w:sz w:val="24"/>
          <w:szCs w:val="24"/>
        </w:rPr>
        <w:t>35</w:t>
      </w:r>
      <w:r>
        <w:rPr>
          <w:rFonts w:eastAsia="仿宋_GB2312"/>
          <w:sz w:val="24"/>
          <w:szCs w:val="24"/>
        </w:rPr>
        <w:fldChar w:fldCharType="end"/>
      </w:r>
      <w:r>
        <w:rPr>
          <w:rFonts w:eastAsia="仿宋_GB2312"/>
          <w:sz w:val="24"/>
          <w:szCs w:val="24"/>
        </w:rPr>
        <w:fldChar w:fldCharType="end"/>
      </w:r>
    </w:p>
    <w:p>
      <w:pPr>
        <w:pStyle w:val="8"/>
        <w:snapToGrid w:val="0"/>
        <w:spacing w:line="360" w:lineRule="auto"/>
        <w:rPr>
          <w:rFonts w:eastAsia="仿宋_GB2312"/>
          <w:b w:val="0"/>
        </w:rPr>
      </w:pPr>
      <w:r>
        <w:fldChar w:fldCharType="begin"/>
      </w:r>
      <w:r>
        <w:instrText xml:space="preserve"> HYPERLINK \l "_Toc66281455" </w:instrText>
      </w:r>
      <w:r>
        <w:fldChar w:fldCharType="separate"/>
      </w:r>
      <w:r>
        <w:rPr>
          <w:rStyle w:val="14"/>
          <w:rFonts w:eastAsia="仿宋_GB2312"/>
        </w:rPr>
        <w:t>9 附件</w:t>
      </w:r>
      <w:r>
        <w:rPr>
          <w:rFonts w:eastAsia="仿宋_GB2312"/>
        </w:rPr>
        <w:tab/>
      </w:r>
      <w:r>
        <w:rPr>
          <w:rFonts w:eastAsia="仿宋_GB2312"/>
        </w:rPr>
        <w:fldChar w:fldCharType="begin"/>
      </w:r>
      <w:r>
        <w:rPr>
          <w:rFonts w:eastAsia="仿宋_GB2312"/>
        </w:rPr>
        <w:instrText xml:space="preserve"> PAGEREF _Toc66281455 \h </w:instrText>
      </w:r>
      <w:r>
        <w:rPr>
          <w:rFonts w:eastAsia="仿宋_GB2312"/>
        </w:rPr>
        <w:fldChar w:fldCharType="separate"/>
      </w:r>
      <w:r>
        <w:rPr>
          <w:rFonts w:eastAsia="仿宋_GB2312"/>
        </w:rPr>
        <w:t>37</w:t>
      </w:r>
      <w:r>
        <w:rPr>
          <w:rFonts w:eastAsia="仿宋_GB2312"/>
        </w:rPr>
        <w:fldChar w:fldCharType="end"/>
      </w:r>
      <w:r>
        <w:rPr>
          <w:rFonts w:eastAsia="仿宋_GB2312"/>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"_Toc66281456" </w:instrText>
      </w:r>
      <w:r>
        <w:fldChar w:fldCharType="separate"/>
      </w:r>
      <w:r>
        <w:rPr>
          <w:rStyle w:val="14"/>
          <w:rFonts w:eastAsia="仿宋_GB2312"/>
          <w:sz w:val="24"/>
          <w:szCs w:val="24"/>
        </w:rPr>
        <w:t>附件1-1：珲春紫金矿业有限公司4000吨/日金铜选冶改扩建项目（采选部分）项目环评批复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_Toc66281456 \h </w:instrText>
      </w:r>
      <w:r>
        <w:rPr>
          <w:rFonts w:eastAsia="仿宋_GB2312"/>
          <w:sz w:val="24"/>
          <w:szCs w:val="24"/>
        </w:rPr>
        <w:fldChar w:fldCharType="separate"/>
      </w:r>
      <w:r>
        <w:rPr>
          <w:rFonts w:eastAsia="仿宋_GB2312"/>
          <w:sz w:val="24"/>
          <w:szCs w:val="24"/>
        </w:rPr>
        <w:t>38</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"_Toc66281457" </w:instrText>
      </w:r>
      <w:r>
        <w:fldChar w:fldCharType="separate"/>
      </w:r>
      <w:r>
        <w:rPr>
          <w:rStyle w:val="14"/>
          <w:rFonts w:eastAsia="仿宋_GB2312"/>
          <w:sz w:val="24"/>
          <w:szCs w:val="24"/>
        </w:rPr>
        <w:t>附件1-2：珲春紫金矿业有限公司4000吨/日金铜选冶改扩建项目竣工环保验收意见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_Toc66281457 \h </w:instrText>
      </w:r>
      <w:r>
        <w:rPr>
          <w:rFonts w:eastAsia="仿宋_GB2312"/>
          <w:sz w:val="24"/>
          <w:szCs w:val="24"/>
        </w:rPr>
        <w:fldChar w:fldCharType="separate"/>
      </w:r>
      <w:r>
        <w:rPr>
          <w:rFonts w:eastAsia="仿宋_GB2312"/>
          <w:sz w:val="24"/>
          <w:szCs w:val="24"/>
        </w:rPr>
        <w:t>40</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"_Toc66281458" </w:instrText>
      </w:r>
      <w:r>
        <w:fldChar w:fldCharType="separate"/>
      </w:r>
      <w:r>
        <w:rPr>
          <w:rStyle w:val="14"/>
          <w:rFonts w:eastAsia="仿宋_GB2312"/>
          <w:sz w:val="24"/>
          <w:szCs w:val="24"/>
        </w:rPr>
        <w:t>附件2-1：珲春紫金矿业有限公司曙光金铜矿9500t/d改扩建项目环评批复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_Toc66281458 \h </w:instrText>
      </w:r>
      <w:r>
        <w:rPr>
          <w:rFonts w:eastAsia="仿宋_GB2312"/>
          <w:sz w:val="24"/>
          <w:szCs w:val="24"/>
        </w:rPr>
        <w:fldChar w:fldCharType="separate"/>
      </w:r>
      <w:r>
        <w:rPr>
          <w:rFonts w:eastAsia="仿宋_GB2312"/>
          <w:sz w:val="24"/>
          <w:szCs w:val="24"/>
        </w:rPr>
        <w:t>42</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"_Toc66281459" </w:instrText>
      </w:r>
      <w:r>
        <w:fldChar w:fldCharType="separate"/>
      </w:r>
      <w:r>
        <w:rPr>
          <w:rStyle w:val="14"/>
          <w:rFonts w:eastAsia="仿宋_GB2312"/>
          <w:sz w:val="24"/>
          <w:szCs w:val="24"/>
        </w:rPr>
        <w:t>附件2-2：珲春紫金矿业有限公司曙光金铜矿9500t/d改扩建项目竣工环保验收意见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_Toc66281459 \h </w:instrText>
      </w:r>
      <w:r>
        <w:rPr>
          <w:rFonts w:eastAsia="仿宋_GB2312"/>
          <w:sz w:val="24"/>
          <w:szCs w:val="24"/>
        </w:rPr>
        <w:fldChar w:fldCharType="separate"/>
      </w:r>
      <w:r>
        <w:rPr>
          <w:rFonts w:eastAsia="仿宋_GB2312"/>
          <w:sz w:val="24"/>
          <w:szCs w:val="24"/>
        </w:rPr>
        <w:t>45</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"_Toc66281460" </w:instrText>
      </w:r>
      <w:r>
        <w:fldChar w:fldCharType="separate"/>
      </w:r>
      <w:r>
        <w:rPr>
          <w:rStyle w:val="14"/>
          <w:rFonts w:eastAsia="仿宋_GB2312"/>
          <w:sz w:val="24"/>
          <w:szCs w:val="24"/>
        </w:rPr>
        <w:t>附件3-1：珲春紫金矿业有限公司曙光金铜矿废石综合利用项目环评批复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_Toc66281460 \h </w:instrText>
      </w:r>
      <w:r>
        <w:rPr>
          <w:rFonts w:eastAsia="仿宋_GB2312"/>
          <w:sz w:val="24"/>
          <w:szCs w:val="24"/>
        </w:rPr>
        <w:fldChar w:fldCharType="separate"/>
      </w:r>
      <w:r>
        <w:rPr>
          <w:rFonts w:eastAsia="仿宋_GB2312"/>
          <w:sz w:val="24"/>
          <w:szCs w:val="24"/>
        </w:rPr>
        <w:t>46</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"_Toc66281461" </w:instrText>
      </w:r>
      <w:r>
        <w:fldChar w:fldCharType="separate"/>
      </w:r>
      <w:r>
        <w:rPr>
          <w:rStyle w:val="14"/>
          <w:rFonts w:eastAsia="仿宋_GB2312"/>
          <w:sz w:val="24"/>
          <w:szCs w:val="24"/>
        </w:rPr>
        <w:t>附件3-2：珲春紫金矿业有限公司曙光金铜矿废石综合利用项目竣工环保验收意见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_Toc66281461 \h </w:instrText>
      </w:r>
      <w:r>
        <w:rPr>
          <w:rFonts w:eastAsia="仿宋_GB2312"/>
          <w:sz w:val="24"/>
          <w:szCs w:val="24"/>
        </w:rPr>
        <w:fldChar w:fldCharType="separate"/>
      </w:r>
      <w:r>
        <w:rPr>
          <w:rFonts w:eastAsia="仿宋_GB2312"/>
          <w:sz w:val="24"/>
          <w:szCs w:val="24"/>
        </w:rPr>
        <w:t>49</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"_Toc66281462" </w:instrText>
      </w:r>
      <w:r>
        <w:fldChar w:fldCharType="separate"/>
      </w:r>
      <w:r>
        <w:rPr>
          <w:rStyle w:val="14"/>
          <w:rFonts w:eastAsia="仿宋_GB2312"/>
          <w:sz w:val="24"/>
          <w:szCs w:val="24"/>
        </w:rPr>
        <w:t>附件4-1：珲春紫金矿业有限公司200m3/d 生活污水生态处理工程环评批复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_Toc66281462 \h </w:instrText>
      </w:r>
      <w:r>
        <w:rPr>
          <w:rFonts w:eastAsia="仿宋_GB2312"/>
          <w:sz w:val="24"/>
          <w:szCs w:val="24"/>
        </w:rPr>
        <w:fldChar w:fldCharType="separate"/>
      </w:r>
      <w:r>
        <w:rPr>
          <w:rFonts w:eastAsia="仿宋_GB2312"/>
          <w:sz w:val="24"/>
          <w:szCs w:val="24"/>
        </w:rPr>
        <w:t>51</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"_Toc66281463" </w:instrText>
      </w:r>
      <w:r>
        <w:fldChar w:fldCharType="separate"/>
      </w:r>
      <w:r>
        <w:rPr>
          <w:rStyle w:val="14"/>
          <w:rFonts w:eastAsia="仿宋_GB2312"/>
          <w:sz w:val="24"/>
          <w:szCs w:val="24"/>
        </w:rPr>
        <w:t>附件4-2：珲春紫金矿业有限公司200m</w:t>
      </w:r>
      <w:r>
        <w:rPr>
          <w:rStyle w:val="14"/>
          <w:rFonts w:eastAsia="仿宋_GB2312"/>
          <w:sz w:val="24"/>
          <w:szCs w:val="24"/>
          <w:vertAlign w:val="superscript"/>
        </w:rPr>
        <w:t>3</w:t>
      </w:r>
      <w:r>
        <w:rPr>
          <w:rStyle w:val="14"/>
          <w:rFonts w:eastAsia="仿宋_GB2312"/>
          <w:sz w:val="24"/>
          <w:szCs w:val="24"/>
        </w:rPr>
        <w:t>/d 生活污水生态处理工程验收意见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_Toc66281463 \h </w:instrText>
      </w:r>
      <w:r>
        <w:rPr>
          <w:rFonts w:eastAsia="仿宋_GB2312"/>
          <w:sz w:val="24"/>
          <w:szCs w:val="24"/>
        </w:rPr>
        <w:fldChar w:fldCharType="separate"/>
      </w:r>
      <w:r>
        <w:rPr>
          <w:rFonts w:eastAsia="仿宋_GB2312"/>
          <w:sz w:val="24"/>
          <w:szCs w:val="24"/>
        </w:rPr>
        <w:t>53</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"_Toc66281464" </w:instrText>
      </w:r>
      <w:r>
        <w:fldChar w:fldCharType="separate"/>
      </w:r>
      <w:r>
        <w:rPr>
          <w:rStyle w:val="14"/>
          <w:rFonts w:eastAsia="仿宋_GB2312"/>
          <w:sz w:val="24"/>
          <w:szCs w:val="24"/>
        </w:rPr>
        <w:t>附件5：珲春紫金矿业有限公司曙光金铜矿9500t/d改扩建项目尾矿库副坝及排水工程环评批复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_Toc66281464 \h </w:instrText>
      </w:r>
      <w:r>
        <w:rPr>
          <w:rFonts w:eastAsia="仿宋_GB2312"/>
          <w:sz w:val="24"/>
          <w:szCs w:val="24"/>
        </w:rPr>
        <w:fldChar w:fldCharType="separate"/>
      </w:r>
      <w:r>
        <w:rPr>
          <w:rFonts w:eastAsia="仿宋_GB2312"/>
          <w:sz w:val="24"/>
          <w:szCs w:val="24"/>
        </w:rPr>
        <w:t>54</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"_Toc66281465" </w:instrText>
      </w:r>
      <w:r>
        <w:fldChar w:fldCharType="separate"/>
      </w:r>
      <w:r>
        <w:rPr>
          <w:rStyle w:val="14"/>
          <w:rFonts w:eastAsia="仿宋_GB2312"/>
          <w:sz w:val="24"/>
          <w:szCs w:val="24"/>
        </w:rPr>
        <w:t>附件6-1：珲春紫金矿业有限公司锅炉改造建设项目环评批复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_Toc66281465 \h </w:instrText>
      </w:r>
      <w:r>
        <w:rPr>
          <w:rFonts w:eastAsia="仿宋_GB2312"/>
          <w:sz w:val="24"/>
          <w:szCs w:val="24"/>
        </w:rPr>
        <w:fldChar w:fldCharType="separate"/>
      </w:r>
      <w:r>
        <w:rPr>
          <w:rFonts w:eastAsia="仿宋_GB2312"/>
          <w:sz w:val="24"/>
          <w:szCs w:val="24"/>
        </w:rPr>
        <w:t>56</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"_Toc66281466" </w:instrText>
      </w:r>
      <w:r>
        <w:fldChar w:fldCharType="separate"/>
      </w:r>
      <w:r>
        <w:rPr>
          <w:rStyle w:val="14"/>
          <w:rFonts w:eastAsia="仿宋_GB2312"/>
          <w:sz w:val="24"/>
          <w:szCs w:val="24"/>
        </w:rPr>
        <w:t>附件6-2：珲春紫金矿业有限公司锅炉改造建设项目验收意见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_Toc66281466 \h </w:instrText>
      </w:r>
      <w:r>
        <w:rPr>
          <w:rFonts w:eastAsia="仿宋_GB2312"/>
          <w:sz w:val="24"/>
          <w:szCs w:val="24"/>
        </w:rPr>
        <w:fldChar w:fldCharType="separate"/>
      </w:r>
      <w:r>
        <w:rPr>
          <w:rFonts w:eastAsia="仿宋_GB2312"/>
          <w:sz w:val="24"/>
          <w:szCs w:val="24"/>
        </w:rPr>
        <w:t>58</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"_Toc66281467" </w:instrText>
      </w:r>
      <w:r>
        <w:fldChar w:fldCharType="separate"/>
      </w:r>
      <w:r>
        <w:rPr>
          <w:rStyle w:val="14"/>
          <w:rFonts w:eastAsia="仿宋_GB2312"/>
          <w:sz w:val="24"/>
          <w:szCs w:val="24"/>
        </w:rPr>
        <w:t>附件7-1：珲春紫金矿业有限公司危险废物贮存库建设项目环评批复</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_Toc66281467 \h </w:instrText>
      </w:r>
      <w:r>
        <w:rPr>
          <w:rFonts w:eastAsia="仿宋_GB2312"/>
          <w:sz w:val="24"/>
          <w:szCs w:val="24"/>
        </w:rPr>
        <w:fldChar w:fldCharType="separate"/>
      </w:r>
      <w:r>
        <w:rPr>
          <w:rFonts w:eastAsia="仿宋_GB2312"/>
          <w:sz w:val="24"/>
          <w:szCs w:val="24"/>
        </w:rPr>
        <w:t>59</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"_Toc66281468" </w:instrText>
      </w:r>
      <w:r>
        <w:fldChar w:fldCharType="separate"/>
      </w:r>
      <w:r>
        <w:rPr>
          <w:rStyle w:val="14"/>
          <w:rFonts w:eastAsia="仿宋_GB2312"/>
          <w:sz w:val="24"/>
          <w:szCs w:val="24"/>
        </w:rPr>
        <w:t>附件7-2：珲春紫金矿业有限公司危险废物贮存库建设项目验收意见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_Toc66281468 \h </w:instrText>
      </w:r>
      <w:r>
        <w:rPr>
          <w:rFonts w:eastAsia="仿宋_GB2312"/>
          <w:sz w:val="24"/>
          <w:szCs w:val="24"/>
        </w:rPr>
        <w:fldChar w:fldCharType="separate"/>
      </w:r>
      <w:r>
        <w:rPr>
          <w:rFonts w:eastAsia="仿宋_GB2312"/>
          <w:sz w:val="24"/>
          <w:szCs w:val="24"/>
        </w:rPr>
        <w:t>61</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"_Toc66281469" </w:instrText>
      </w:r>
      <w:r>
        <w:fldChar w:fldCharType="separate"/>
      </w:r>
      <w:r>
        <w:rPr>
          <w:rStyle w:val="14"/>
          <w:rFonts w:eastAsia="仿宋_GB2312"/>
          <w:sz w:val="24"/>
          <w:szCs w:val="24"/>
        </w:rPr>
        <w:t>附件8：排污许可证</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_Toc66281469 \h </w:instrText>
      </w:r>
      <w:r>
        <w:rPr>
          <w:rFonts w:eastAsia="仿宋_GB2312"/>
          <w:sz w:val="24"/>
          <w:szCs w:val="24"/>
        </w:rPr>
        <w:fldChar w:fldCharType="separate"/>
      </w:r>
      <w:r>
        <w:rPr>
          <w:rFonts w:eastAsia="仿宋_GB2312"/>
          <w:sz w:val="24"/>
          <w:szCs w:val="24"/>
        </w:rPr>
        <w:t>62</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"_Toc66281470" </w:instrText>
      </w:r>
      <w:r>
        <w:fldChar w:fldCharType="separate"/>
      </w:r>
      <w:r>
        <w:rPr>
          <w:rStyle w:val="14"/>
          <w:rFonts w:eastAsia="仿宋_GB2312"/>
          <w:sz w:val="24"/>
          <w:szCs w:val="24"/>
        </w:rPr>
        <w:t>附件9：突发环境事件应急预案备案表</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_Toc66281470 \h </w:instrText>
      </w:r>
      <w:r>
        <w:rPr>
          <w:rFonts w:eastAsia="仿宋_GB2312"/>
          <w:sz w:val="24"/>
          <w:szCs w:val="24"/>
        </w:rPr>
        <w:fldChar w:fldCharType="separate"/>
      </w:r>
      <w:r>
        <w:rPr>
          <w:rFonts w:eastAsia="仿宋_GB2312"/>
          <w:sz w:val="24"/>
          <w:szCs w:val="24"/>
        </w:rPr>
        <w:t>63</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"_Toc66281471" </w:instrText>
      </w:r>
      <w:r>
        <w:fldChar w:fldCharType="separate"/>
      </w:r>
      <w:r>
        <w:rPr>
          <w:rStyle w:val="14"/>
          <w:rFonts w:eastAsia="仿宋_GB2312"/>
          <w:sz w:val="24"/>
          <w:szCs w:val="24"/>
        </w:rPr>
        <w:t>附件10：清洁生产审核报告评估意见和验收意见（第五轮）</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_Toc66281471 \h </w:instrText>
      </w:r>
      <w:r>
        <w:rPr>
          <w:rFonts w:eastAsia="仿宋_GB2312"/>
          <w:sz w:val="24"/>
          <w:szCs w:val="24"/>
        </w:rPr>
        <w:fldChar w:fldCharType="separate"/>
      </w:r>
      <w:r>
        <w:rPr>
          <w:rFonts w:eastAsia="仿宋_GB2312"/>
          <w:sz w:val="24"/>
          <w:szCs w:val="24"/>
        </w:rPr>
        <w:t>64</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"_Toc66281472" </w:instrText>
      </w:r>
      <w:r>
        <w:fldChar w:fldCharType="separate"/>
      </w:r>
      <w:r>
        <w:rPr>
          <w:rStyle w:val="14"/>
          <w:rFonts w:eastAsia="仿宋_GB2312"/>
          <w:sz w:val="24"/>
          <w:szCs w:val="24"/>
        </w:rPr>
        <w:t>附件11：危险废物处置协议及相关资质</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_Toc66281472 \h </w:instrText>
      </w:r>
      <w:r>
        <w:rPr>
          <w:rFonts w:eastAsia="仿宋_GB2312"/>
          <w:sz w:val="24"/>
          <w:szCs w:val="24"/>
        </w:rPr>
        <w:fldChar w:fldCharType="separate"/>
      </w:r>
      <w:r>
        <w:rPr>
          <w:rFonts w:eastAsia="仿宋_GB2312"/>
          <w:sz w:val="24"/>
          <w:szCs w:val="24"/>
        </w:rPr>
        <w:t>68</w:t>
      </w:r>
      <w:r>
        <w:rPr>
          <w:rFonts w:eastAsia="仿宋_GB2312"/>
          <w:sz w:val="24"/>
          <w:szCs w:val="24"/>
        </w:rPr>
        <w:fldChar w:fldCharType="end"/>
      </w:r>
      <w:r>
        <w:rPr>
          <w:rFonts w:eastAsia="仿宋_GB2312"/>
          <w:sz w:val="24"/>
          <w:szCs w:val="24"/>
        </w:rPr>
        <w:fldChar w:fldCharType="end"/>
      </w:r>
    </w:p>
    <w:p>
      <w:pPr>
        <w:pStyle w:val="9"/>
        <w:tabs>
          <w:tab w:val="right" w:leader="dot" w:pos="8296"/>
        </w:tabs>
        <w:snapToGrid w:val="0"/>
        <w:spacing w:beforeLines="0" w:afterLines="0"/>
        <w:ind w:left="560" w:firstLine="0" w:firstLineChars="0"/>
        <w:rPr>
          <w:rFonts w:eastAsia="仿宋_GB2312"/>
          <w:sz w:val="24"/>
          <w:szCs w:val="24"/>
        </w:rPr>
      </w:pPr>
      <w:r>
        <w:fldChar w:fldCharType="begin"/>
      </w:r>
      <w:r>
        <w:instrText xml:space="preserve"> HYPERLINK \l "_Toc66281473" </w:instrText>
      </w:r>
      <w:r>
        <w:fldChar w:fldCharType="separate"/>
      </w:r>
      <w:r>
        <w:rPr>
          <w:rStyle w:val="14"/>
          <w:rFonts w:eastAsia="仿宋_GB2312"/>
          <w:sz w:val="24"/>
          <w:szCs w:val="24"/>
        </w:rPr>
        <w:t>附件12：监测报告（部分）</w:t>
      </w:r>
      <w:r>
        <w:rPr>
          <w:rFonts w:eastAsia="仿宋_GB2312"/>
          <w:sz w:val="24"/>
          <w:szCs w:val="24"/>
        </w:rPr>
        <w:tab/>
      </w:r>
      <w:r>
        <w:rPr>
          <w:rFonts w:eastAsia="仿宋_GB2312"/>
          <w:sz w:val="24"/>
          <w:szCs w:val="24"/>
        </w:rPr>
        <w:fldChar w:fldCharType="begin"/>
      </w:r>
      <w:r>
        <w:rPr>
          <w:rFonts w:eastAsia="仿宋_GB2312"/>
          <w:sz w:val="24"/>
          <w:szCs w:val="24"/>
        </w:rPr>
        <w:instrText xml:space="preserve"> PAGEREF _Toc66281473 \h </w:instrText>
      </w:r>
      <w:r>
        <w:rPr>
          <w:rFonts w:eastAsia="仿宋_GB2312"/>
          <w:sz w:val="24"/>
          <w:szCs w:val="24"/>
        </w:rPr>
        <w:fldChar w:fldCharType="separate"/>
      </w:r>
      <w:r>
        <w:rPr>
          <w:rFonts w:eastAsia="仿宋_GB2312"/>
          <w:sz w:val="24"/>
          <w:szCs w:val="24"/>
        </w:rPr>
        <w:t>74</w:t>
      </w:r>
      <w:r>
        <w:rPr>
          <w:rFonts w:eastAsia="仿宋_GB2312"/>
          <w:sz w:val="24"/>
          <w:szCs w:val="24"/>
        </w:rPr>
        <w:fldChar w:fldCharType="end"/>
      </w:r>
      <w:r>
        <w:rPr>
          <w:rFonts w:eastAsia="仿宋_GB2312"/>
          <w:sz w:val="24"/>
          <w:szCs w:val="24"/>
        </w:rPr>
        <w:fldChar w:fldCharType="end"/>
      </w:r>
    </w:p>
    <w:p>
      <w:pPr>
        <w:adjustRightInd w:val="0"/>
        <w:snapToGrid w:val="0"/>
        <w:spacing w:beforeLines="0" w:afterLines="0"/>
        <w:ind w:firstLine="0" w:firstLineChars="0"/>
        <w:rPr>
          <w:sz w:val="24"/>
          <w:szCs w:val="24"/>
          <w:lang w:val="zh-CN"/>
        </w:rPr>
      </w:pPr>
      <w:r>
        <w:rPr>
          <w:rFonts w:eastAsia="仿宋_GB2312"/>
          <w:sz w:val="24"/>
          <w:szCs w:val="24"/>
        </w:rPr>
        <w:fldChar w:fldCharType="end"/>
      </w:r>
    </w:p>
    <w:p>
      <w:pPr>
        <w:spacing w:before="124" w:after="124"/>
        <w:ind w:firstLine="560"/>
        <w:sectPr>
          <w:pgSz w:w="11906" w:h="16838"/>
          <w:pgMar w:top="1135" w:right="1800" w:bottom="1440" w:left="1800" w:header="851" w:footer="992" w:gutter="0"/>
          <w:cols w:space="720" w:num="1"/>
          <w:docGrid w:type="lines" w:linePitch="312" w:charSpace="0"/>
        </w:sectPr>
      </w:pPr>
    </w:p>
    <w:p>
      <w:pPr>
        <w:pStyle w:val="2"/>
        <w:spacing w:beforeLines="0" w:afterLines="0"/>
        <w:rPr>
          <w:b w:val="0"/>
          <w:sz w:val="30"/>
          <w:szCs w:val="30"/>
        </w:rPr>
      </w:pPr>
      <w:bookmarkStart w:id="0" w:name="_Toc441676820"/>
      <w:bookmarkStart w:id="1" w:name="_Toc66281430"/>
      <w:r>
        <w:rPr>
          <w:rFonts w:hint="eastAsia"/>
          <w:b w:val="0"/>
          <w:sz w:val="30"/>
          <w:szCs w:val="30"/>
        </w:rPr>
        <w:t>1 企业基本情况</w:t>
      </w:r>
      <w:bookmarkEnd w:id="0"/>
      <w:bookmarkEnd w:id="1"/>
    </w:p>
    <w:p>
      <w:pPr>
        <w:pStyle w:val="3"/>
        <w:rPr>
          <w:color w:val="auto"/>
        </w:rPr>
      </w:pPr>
      <w:bookmarkStart w:id="2" w:name="_Toc66281431"/>
      <w:bookmarkStart w:id="3" w:name="_Toc441676821"/>
      <w:r>
        <w:rPr>
          <w:color w:val="auto"/>
        </w:rPr>
        <w:t>1.1 企业介绍</w:t>
      </w:r>
      <w:bookmarkEnd w:id="2"/>
      <w:bookmarkEnd w:id="3"/>
    </w:p>
    <w:p>
      <w:pPr>
        <w:spacing w:beforeLines="0" w:afterLines="0"/>
        <w:ind w:firstLine="480"/>
        <w:rPr>
          <w:rFonts w:eastAsia="仿宋_GB2312"/>
          <w:sz w:val="24"/>
        </w:rPr>
      </w:pPr>
      <w:r>
        <w:rPr>
          <w:rFonts w:hint="eastAsia" w:eastAsia="仿宋_GB2312"/>
          <w:sz w:val="24"/>
        </w:rPr>
        <w:t>珲春紫金矿业有限公司曙光金铜矿（以下简称曙光金铜矿）</w:t>
      </w:r>
      <w:r>
        <w:rPr>
          <w:rFonts w:eastAsia="仿宋_GB2312"/>
          <w:sz w:val="24"/>
        </w:rPr>
        <w:t>位于珲春市春化镇西25km的山区中，矿区地理坐标为东经130°51′31″</w:t>
      </w:r>
      <w:r>
        <w:rPr>
          <w:rFonts w:hint="eastAsia" w:eastAsia="仿宋_GB2312"/>
          <w:sz w:val="24"/>
        </w:rPr>
        <w:t>~</w:t>
      </w:r>
      <w:r>
        <w:rPr>
          <w:rFonts w:eastAsia="仿宋_GB2312"/>
          <w:sz w:val="24"/>
        </w:rPr>
        <w:t>130°55′00″，北纬43°11′19″</w:t>
      </w:r>
      <w:r>
        <w:rPr>
          <w:rFonts w:hint="eastAsia" w:eastAsia="仿宋_GB2312"/>
          <w:sz w:val="24"/>
        </w:rPr>
        <w:t>~</w:t>
      </w:r>
      <w:r>
        <w:rPr>
          <w:rFonts w:eastAsia="仿宋_GB2312"/>
          <w:sz w:val="24"/>
        </w:rPr>
        <w:t>43°14′23″。矿区北侧5km以外为高山森林区，西南43km为珲春市三道沟金矿区。矿区距图们铁路站150km，距珲春市区75km，均有公路相通。</w:t>
      </w:r>
    </w:p>
    <w:p>
      <w:pPr>
        <w:spacing w:beforeLines="0" w:afterLines="0"/>
        <w:ind w:firstLine="480"/>
        <w:rPr>
          <w:rFonts w:eastAsia="仿宋_GB2312"/>
          <w:sz w:val="24"/>
        </w:rPr>
      </w:pPr>
      <w:r>
        <w:rPr>
          <w:rFonts w:eastAsia="仿宋_GB2312"/>
          <w:sz w:val="24"/>
        </w:rPr>
        <w:t>曙光金铜矿成立于2003年1月10日，是一个以大规模开采低品位金铜矿产资源为主业的矿业企业。主营业务为：金、铜及其它有色金属和非金属矿产品开采、加工、矿产品销售，矿产资源勘查及其信息、技术服务。自2003年公司成立以来，曙光金铜矿已累计投入资金</w:t>
      </w:r>
      <w:r>
        <w:rPr>
          <w:rFonts w:hint="eastAsia" w:eastAsia="仿宋_GB2312"/>
          <w:sz w:val="24"/>
        </w:rPr>
        <w:t>8</w:t>
      </w:r>
      <w:r>
        <w:rPr>
          <w:rFonts w:eastAsia="仿宋_GB2312"/>
          <w:sz w:val="24"/>
        </w:rPr>
        <w:t>亿多元进行了</w:t>
      </w:r>
      <w:r>
        <w:rPr>
          <w:rFonts w:hint="eastAsia" w:eastAsia="仿宋_GB2312"/>
          <w:sz w:val="24"/>
        </w:rPr>
        <w:t>5</w:t>
      </w:r>
      <w:r>
        <w:rPr>
          <w:rFonts w:eastAsia="仿宋_GB2312"/>
          <w:sz w:val="24"/>
        </w:rPr>
        <w:t>次技术改造，公司生产规模由老企业时的850吨/日迅速提高到现在的</w:t>
      </w:r>
      <w:r>
        <w:rPr>
          <w:rFonts w:hint="eastAsia" w:eastAsia="仿宋_GB2312"/>
          <w:sz w:val="24"/>
        </w:rPr>
        <w:t>2</w:t>
      </w:r>
      <w:r>
        <w:rPr>
          <w:rFonts w:eastAsia="仿宋_GB2312"/>
          <w:sz w:val="24"/>
        </w:rPr>
        <w:t>5000吨/日</w:t>
      </w:r>
      <w:r>
        <w:rPr>
          <w:rFonts w:hint="eastAsia" w:eastAsia="仿宋_GB2312"/>
          <w:sz w:val="24"/>
        </w:rPr>
        <w:t>，</w:t>
      </w:r>
      <w:r>
        <w:rPr>
          <w:rFonts w:eastAsia="仿宋_GB2312"/>
          <w:sz w:val="24"/>
        </w:rPr>
        <w:t>随着生产规模的扩大，曙光金铜矿用短短几年时间就实现了跨越式的高速发展，取得了经济效益和社会效益的双丰收。</w:t>
      </w:r>
    </w:p>
    <w:p>
      <w:pPr>
        <w:spacing w:beforeLines="0" w:afterLines="0"/>
        <w:ind w:firstLine="480"/>
        <w:rPr>
          <w:rFonts w:eastAsia="仿宋_GB2312"/>
          <w:sz w:val="24"/>
        </w:rPr>
      </w:pPr>
      <w:r>
        <w:rPr>
          <w:rFonts w:hint="eastAsia" w:eastAsia="仿宋_GB2312"/>
          <w:sz w:val="24"/>
        </w:rPr>
        <w:t>曙光金铜矿基本情况见表1-1。</w:t>
      </w:r>
    </w:p>
    <w:p>
      <w:pPr>
        <w:pStyle w:val="10"/>
        <w:spacing w:beforeLines="0" w:line="240" w:lineRule="auto"/>
      </w:pPr>
      <w:r>
        <w:rPr>
          <w:rFonts w:hint="eastAsia"/>
        </w:rPr>
        <w:t>表1-1  曙光金铜矿基本情况</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85" w:type="dxa"/>
          <w:bottom w:w="0" w:type="dxa"/>
          <w:right w:w="85" w:type="dxa"/>
        </w:tblCellMar>
      </w:tblPr>
      <w:tblGrid>
        <w:gridCol w:w="2061"/>
        <w:gridCol w:w="2289"/>
        <w:gridCol w:w="1675"/>
        <w:gridCol w:w="2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tblHeader/>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企业名称</w:t>
            </w:r>
          </w:p>
        </w:tc>
        <w:tc>
          <w:tcPr>
            <w:tcW w:w="3784" w:type="pct"/>
            <w:gridSpan w:val="3"/>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珲春紫金矿业有限公司曙光金铜矿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生产地址</w:t>
            </w:r>
          </w:p>
        </w:tc>
        <w:tc>
          <w:tcPr>
            <w:tcW w:w="3784" w:type="pct"/>
            <w:gridSpan w:val="3"/>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珲春市春化镇小西南岔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行业类别</w:t>
            </w:r>
          </w:p>
        </w:tc>
        <w:tc>
          <w:tcPr>
            <w:tcW w:w="3784" w:type="pct"/>
            <w:gridSpan w:val="3"/>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有色金属采选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生产经营和管理服务的主要内容</w:t>
            </w:r>
          </w:p>
        </w:tc>
        <w:tc>
          <w:tcPr>
            <w:tcW w:w="3784" w:type="pct"/>
            <w:gridSpan w:val="3"/>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金、铜及其它有色金属和非金属矿产品开采、选冶、加工、矿产品销售，矿产资源勘查及其信息、技术服务。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44"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组织机构代码</w:t>
            </w:r>
          </w:p>
        </w:tc>
        <w:tc>
          <w:tcPr>
            <w:tcW w:w="1350"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91222404753606947L</w:t>
            </w:r>
          </w:p>
        </w:tc>
        <w:tc>
          <w:tcPr>
            <w:tcW w:w="988"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法定代表人</w:t>
            </w:r>
          </w:p>
        </w:tc>
        <w:tc>
          <w:tcPr>
            <w:tcW w:w="144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贺日应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Email邮箱</w:t>
            </w:r>
          </w:p>
        </w:tc>
        <w:tc>
          <w:tcPr>
            <w:tcW w:w="1350"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hczjlwz@qq.com</w:t>
            </w:r>
          </w:p>
        </w:tc>
        <w:tc>
          <w:tcPr>
            <w:tcW w:w="988"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传真</w:t>
            </w:r>
          </w:p>
        </w:tc>
        <w:tc>
          <w:tcPr>
            <w:tcW w:w="144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0433-7819248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20" w:hRule="atLeast"/>
          <w:jc w:val="center"/>
        </w:trPr>
        <w:tc>
          <w:tcPr>
            <w:tcW w:w="121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联系人</w:t>
            </w:r>
          </w:p>
        </w:tc>
        <w:tc>
          <w:tcPr>
            <w:tcW w:w="1350"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翟玉泉</w:t>
            </w:r>
          </w:p>
        </w:tc>
        <w:tc>
          <w:tcPr>
            <w:tcW w:w="988"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ascii="Times New Roman" w:hAnsi="Times New Roman"/>
                <w:kern w:val="2"/>
                <w:sz w:val="21"/>
                <w:szCs w:val="21"/>
              </w:rPr>
              <w:t>联系方式</w:t>
            </w:r>
          </w:p>
        </w:tc>
        <w:tc>
          <w:tcPr>
            <w:tcW w:w="1446" w:type="pct"/>
            <w:vAlign w:val="center"/>
          </w:tcPr>
          <w:p>
            <w:pPr>
              <w:pStyle w:val="16"/>
              <w:adjustRightInd w:val="0"/>
              <w:snapToGrid w:val="0"/>
              <w:spacing w:beforeLines="0" w:afterLines="0" w:line="240" w:lineRule="auto"/>
              <w:ind w:firstLine="0" w:firstLineChars="0"/>
              <w:rPr>
                <w:rFonts w:ascii="Times New Roman" w:hAnsi="Times New Roman"/>
                <w:kern w:val="2"/>
                <w:sz w:val="21"/>
                <w:szCs w:val="21"/>
              </w:rPr>
            </w:pPr>
            <w:r>
              <w:rPr>
                <w:rFonts w:hint="eastAsia" w:ascii="Times New Roman" w:hAnsi="Times New Roman"/>
                <w:kern w:val="2"/>
                <w:sz w:val="21"/>
                <w:szCs w:val="21"/>
              </w:rPr>
              <w:t>13596508686</w:t>
            </w:r>
          </w:p>
        </w:tc>
      </w:tr>
    </w:tbl>
    <w:p>
      <w:pPr>
        <w:pStyle w:val="3"/>
        <w:rPr>
          <w:color w:val="auto"/>
        </w:rPr>
      </w:pPr>
      <w:bookmarkStart w:id="4" w:name="_Toc441676822"/>
      <w:bookmarkStart w:id="5" w:name="_Toc66281432"/>
      <w:r>
        <w:rPr>
          <w:color w:val="auto"/>
        </w:rPr>
        <w:t xml:space="preserve">1.2 </w:t>
      </w:r>
      <w:bookmarkEnd w:id="4"/>
      <w:r>
        <w:rPr>
          <w:rFonts w:hint="eastAsia"/>
          <w:color w:val="auto"/>
        </w:rPr>
        <w:t>环保机构情况</w:t>
      </w:r>
      <w:bookmarkEnd w:id="5"/>
    </w:p>
    <w:p>
      <w:pPr>
        <w:spacing w:before="152" w:after="152"/>
        <w:ind w:firstLine="480"/>
        <w:rPr>
          <w:rFonts w:eastAsia="仿宋_GB2312"/>
          <w:sz w:val="24"/>
        </w:rPr>
      </w:pPr>
      <w:r>
        <w:rPr>
          <w:rFonts w:hint="eastAsia" w:eastAsia="仿宋_GB2312"/>
          <w:sz w:val="24"/>
        </w:rPr>
        <w:t>曙光金铜矿</w:t>
      </w:r>
      <w:r>
        <w:rPr>
          <w:rFonts w:eastAsia="仿宋_GB2312"/>
          <w:sz w:val="24"/>
        </w:rPr>
        <w:t>有着完善的环保组织结构，公司已设立</w:t>
      </w:r>
      <w:r>
        <w:rPr>
          <w:rFonts w:hint="eastAsia" w:eastAsia="仿宋_GB2312"/>
          <w:sz w:val="24"/>
        </w:rPr>
        <w:t>安全生产与环境保护处</w:t>
      </w:r>
      <w:r>
        <w:rPr>
          <w:rFonts w:eastAsia="仿宋_GB2312"/>
          <w:sz w:val="24"/>
        </w:rPr>
        <w:t>，统一领导、协调公司的环保工作，负责公司环境保护方面的日常监督管理工作</w:t>
      </w:r>
      <w:r>
        <w:rPr>
          <w:rFonts w:hint="eastAsia" w:eastAsia="仿宋_GB2312"/>
          <w:sz w:val="24"/>
        </w:rPr>
        <w:t>，</w:t>
      </w:r>
      <w:r>
        <w:rPr>
          <w:rFonts w:eastAsia="仿宋_GB2312"/>
          <w:sz w:val="24"/>
        </w:rPr>
        <w:t>并</w:t>
      </w:r>
      <w:r>
        <w:rPr>
          <w:rFonts w:hint="eastAsia" w:eastAsia="仿宋_GB2312"/>
          <w:sz w:val="24"/>
        </w:rPr>
        <w:t>由</w:t>
      </w:r>
      <w:r>
        <w:rPr>
          <w:rFonts w:eastAsia="仿宋_GB2312"/>
          <w:sz w:val="24"/>
        </w:rPr>
        <w:t>一名公司领导具体分管环境保护工作</w:t>
      </w:r>
      <w:r>
        <w:rPr>
          <w:rFonts w:hint="eastAsia" w:eastAsia="仿宋_GB2312"/>
          <w:sz w:val="24"/>
        </w:rPr>
        <w:t>。</w:t>
      </w:r>
      <w:r>
        <w:rPr>
          <w:rFonts w:eastAsia="仿宋_GB2312"/>
          <w:sz w:val="24"/>
        </w:rPr>
        <w:t>公司制定了详细的环境管理文件，不断完善企业环境管理制度和相关</w:t>
      </w:r>
      <w:r>
        <w:rPr>
          <w:rFonts w:hint="eastAsia" w:eastAsia="仿宋_GB2312"/>
          <w:sz w:val="24"/>
        </w:rPr>
        <w:t>环保</w:t>
      </w:r>
      <w:r>
        <w:rPr>
          <w:rFonts w:eastAsia="仿宋_GB2312"/>
          <w:sz w:val="24"/>
        </w:rPr>
        <w:t>档案。公司</w:t>
      </w:r>
      <w:r>
        <w:rPr>
          <w:rFonts w:hint="eastAsia" w:eastAsia="仿宋_GB2312"/>
          <w:sz w:val="24"/>
        </w:rPr>
        <w:t>共有</w:t>
      </w:r>
      <w:r>
        <w:rPr>
          <w:rFonts w:eastAsia="仿宋_GB2312"/>
          <w:sz w:val="24"/>
        </w:rPr>
        <w:t>专职环保人员</w:t>
      </w:r>
      <w:r>
        <w:rPr>
          <w:rFonts w:hint="eastAsia" w:eastAsia="仿宋_GB2312"/>
          <w:sz w:val="24"/>
        </w:rPr>
        <w:t>3</w:t>
      </w:r>
      <w:r>
        <w:rPr>
          <w:rFonts w:eastAsia="仿宋_GB2312"/>
          <w:sz w:val="24"/>
        </w:rPr>
        <w:t>人。环境管理机构和制度建设情况见表1-</w:t>
      </w:r>
      <w:r>
        <w:rPr>
          <w:rFonts w:hint="eastAsia" w:eastAsia="仿宋_GB2312"/>
          <w:sz w:val="24"/>
        </w:rPr>
        <w:t>2</w:t>
      </w:r>
      <w:r>
        <w:rPr>
          <w:rFonts w:eastAsia="仿宋_GB2312"/>
          <w:sz w:val="24"/>
        </w:rPr>
        <w:t>。</w:t>
      </w:r>
    </w:p>
    <w:p>
      <w:pPr>
        <w:pStyle w:val="10"/>
        <w:spacing w:beforeLines="0" w:line="240" w:lineRule="auto"/>
      </w:pPr>
      <w:r>
        <w:rPr>
          <w:rFonts w:hint="eastAsia"/>
        </w:rPr>
        <w:t>表1-2  环境管理机构和制度建设情况</w:t>
      </w:r>
    </w:p>
    <w:tbl>
      <w:tblPr>
        <w:tblStyle w:val="11"/>
        <w:tblW w:w="928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6"/>
        <w:gridCol w:w="1559"/>
        <w:gridCol w:w="62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26" w:type="dxa"/>
            <w:vAlign w:val="center"/>
          </w:tcPr>
          <w:p>
            <w:pPr>
              <w:spacing w:beforeLines="0" w:afterLines="0" w:line="240" w:lineRule="auto"/>
              <w:ind w:firstLine="0" w:firstLineChars="0"/>
              <w:jc w:val="center"/>
              <w:rPr>
                <w:b/>
                <w:sz w:val="21"/>
              </w:rPr>
            </w:pPr>
            <w:r>
              <w:rPr>
                <w:rFonts w:hint="eastAsia"/>
                <w:b/>
                <w:sz w:val="21"/>
              </w:rPr>
              <w:t>环保机构名称</w:t>
            </w:r>
          </w:p>
        </w:tc>
        <w:tc>
          <w:tcPr>
            <w:tcW w:w="1559" w:type="dxa"/>
            <w:vAlign w:val="center"/>
          </w:tcPr>
          <w:p>
            <w:pPr>
              <w:spacing w:beforeLines="0" w:afterLines="0" w:line="240" w:lineRule="auto"/>
              <w:ind w:firstLine="0" w:firstLineChars="0"/>
              <w:jc w:val="center"/>
              <w:rPr>
                <w:b/>
                <w:sz w:val="21"/>
              </w:rPr>
            </w:pPr>
            <w:r>
              <w:rPr>
                <w:rFonts w:hint="eastAsia"/>
                <w:b/>
                <w:sz w:val="21"/>
              </w:rPr>
              <w:t>环保人员数量</w:t>
            </w:r>
          </w:p>
        </w:tc>
        <w:tc>
          <w:tcPr>
            <w:tcW w:w="6201" w:type="dxa"/>
            <w:vAlign w:val="center"/>
          </w:tcPr>
          <w:p>
            <w:pPr>
              <w:spacing w:beforeLines="0" w:afterLines="0" w:line="240" w:lineRule="auto"/>
              <w:ind w:firstLine="0" w:firstLineChars="0"/>
              <w:jc w:val="center"/>
              <w:rPr>
                <w:b/>
                <w:sz w:val="21"/>
              </w:rPr>
            </w:pPr>
            <w:r>
              <w:rPr>
                <w:rFonts w:hint="eastAsia"/>
                <w:b/>
                <w:sz w:val="21"/>
              </w:rPr>
              <w:t>现有环境管理制度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526" w:type="dxa"/>
            <w:vAlign w:val="center"/>
          </w:tcPr>
          <w:p>
            <w:pPr>
              <w:spacing w:before="152" w:after="152" w:line="240" w:lineRule="auto"/>
              <w:ind w:firstLine="0" w:firstLineChars="0"/>
              <w:jc w:val="center"/>
              <w:rPr>
                <w:sz w:val="21"/>
              </w:rPr>
            </w:pPr>
            <w:r>
              <w:rPr>
                <w:rFonts w:hint="eastAsia"/>
                <w:sz w:val="21"/>
              </w:rPr>
              <w:t>安全生产与环境保护处</w:t>
            </w:r>
          </w:p>
        </w:tc>
        <w:tc>
          <w:tcPr>
            <w:tcW w:w="1559" w:type="dxa"/>
            <w:vAlign w:val="center"/>
          </w:tcPr>
          <w:p>
            <w:pPr>
              <w:spacing w:before="152" w:after="152" w:line="240" w:lineRule="auto"/>
              <w:ind w:firstLine="0" w:firstLineChars="0"/>
              <w:jc w:val="center"/>
              <w:rPr>
                <w:sz w:val="21"/>
              </w:rPr>
            </w:pPr>
            <w:r>
              <w:rPr>
                <w:rFonts w:hint="eastAsia"/>
                <w:sz w:val="21"/>
              </w:rPr>
              <w:t>3人</w:t>
            </w:r>
          </w:p>
        </w:tc>
        <w:tc>
          <w:tcPr>
            <w:tcW w:w="6201" w:type="dxa"/>
            <w:vAlign w:val="center"/>
          </w:tcPr>
          <w:p>
            <w:pPr>
              <w:spacing w:before="152" w:after="152" w:line="240" w:lineRule="auto"/>
              <w:ind w:firstLine="0" w:firstLineChars="0"/>
              <w:jc w:val="center"/>
              <w:rPr>
                <w:sz w:val="21"/>
              </w:rPr>
            </w:pPr>
            <w:r>
              <w:rPr>
                <w:rFonts w:hint="eastAsia"/>
                <w:sz w:val="21"/>
              </w:rPr>
              <w:t>《环境保护责任制》、《办公和生活垃圾管理程序》、《除尘系统运行管理的一般原则》、《大气和水污染控制程序》、《放射性安全防护管理规定》、《放射性同位素安全管理制度》、《放射性污染防护管理程序》、《放射源事故应急控制程序》、《环保生态检查管理规定》、《环境监测和测量控制程序》、《环境监测制度》、《环境因素识别评价与控制策划程序》、《矿渣和剥离废土控制程序》、《水土保持管理程序》、《污染物监测和排放申报管理规定》、《新、改、扩建项目环境影响管理程序》、《噪声控制程序》、《环保与生态档案管理办法》共18项环境管理制度及2项专项突发环境事件应急预案。</w:t>
            </w:r>
          </w:p>
        </w:tc>
      </w:tr>
    </w:tbl>
    <w:p>
      <w:pPr>
        <w:pStyle w:val="3"/>
        <w:rPr>
          <w:color w:val="auto"/>
        </w:rPr>
      </w:pPr>
      <w:bookmarkStart w:id="6" w:name="_Toc66281433"/>
      <w:bookmarkStart w:id="7" w:name="_Toc441676823"/>
      <w:r>
        <w:rPr>
          <w:color w:val="auto"/>
        </w:rPr>
        <w:t>1.3生产经营情况</w:t>
      </w:r>
      <w:bookmarkEnd w:id="6"/>
      <w:bookmarkEnd w:id="7"/>
    </w:p>
    <w:p>
      <w:pPr>
        <w:pStyle w:val="4"/>
      </w:pPr>
      <w:r>
        <w:rPr>
          <w:rFonts w:hint="eastAsia"/>
        </w:rPr>
        <w:t>1.3.1 生产工艺简介</w:t>
      </w:r>
    </w:p>
    <w:p>
      <w:pPr>
        <w:spacing w:beforeLines="0" w:afterLines="0"/>
        <w:ind w:firstLine="480"/>
        <w:rPr>
          <w:rFonts w:eastAsia="仿宋_GB2312"/>
          <w:sz w:val="24"/>
        </w:rPr>
      </w:pPr>
      <w:r>
        <w:rPr>
          <w:rFonts w:hint="eastAsia" w:eastAsia="仿宋_GB2312"/>
          <w:sz w:val="24"/>
        </w:rPr>
        <w:t>（1）</w:t>
      </w:r>
      <w:r>
        <w:rPr>
          <w:rFonts w:eastAsia="仿宋_GB2312"/>
          <w:sz w:val="24"/>
        </w:rPr>
        <w:t>采矿工艺</w:t>
      </w:r>
    </w:p>
    <w:p>
      <w:pPr>
        <w:spacing w:beforeLines="0" w:afterLines="0"/>
        <w:ind w:firstLine="480"/>
        <w:rPr>
          <w:rFonts w:eastAsia="仿宋_GB2312"/>
          <w:sz w:val="24"/>
        </w:rPr>
      </w:pPr>
      <w:r>
        <w:rPr>
          <w:rFonts w:eastAsia="仿宋_GB2312"/>
          <w:sz w:val="24"/>
        </w:rPr>
        <w:t>曙光金铜矿矿区分为南山井田与北山井田，生产主要矿源为北山露天采场</w:t>
      </w:r>
      <w:r>
        <w:rPr>
          <w:rFonts w:hint="eastAsia" w:eastAsia="仿宋_GB2312"/>
          <w:sz w:val="24"/>
        </w:rPr>
        <w:t>。限</w:t>
      </w:r>
      <w:r>
        <w:rPr>
          <w:rFonts w:eastAsia="仿宋_GB2312"/>
          <w:sz w:val="24"/>
        </w:rPr>
        <w:t>于资源等条件</w:t>
      </w:r>
      <w:r>
        <w:rPr>
          <w:rFonts w:hint="eastAsia" w:eastAsia="仿宋_GB2312"/>
          <w:sz w:val="24"/>
        </w:rPr>
        <w:t>，</w:t>
      </w:r>
      <w:r>
        <w:rPr>
          <w:rFonts w:eastAsia="仿宋_GB2312"/>
          <w:sz w:val="24"/>
        </w:rPr>
        <w:t>南山坑仅作为矿山的副产矿田</w:t>
      </w:r>
      <w:r>
        <w:rPr>
          <w:rFonts w:hint="eastAsia" w:eastAsia="仿宋_GB2312"/>
          <w:sz w:val="24"/>
        </w:rPr>
        <w:t>，2017年8月份已经停产</w:t>
      </w:r>
      <w:r>
        <w:rPr>
          <w:rFonts w:eastAsia="仿宋_GB2312"/>
          <w:sz w:val="24"/>
        </w:rPr>
        <w:t>。露天矿区矿石开拓运输为公路开拓，单一汽车运输，矿石运往距离采场约1.5km处的选厂处理，废石运往排土场堆存。</w:t>
      </w:r>
    </w:p>
    <w:p>
      <w:pPr>
        <w:spacing w:beforeLines="0" w:afterLines="0"/>
        <w:ind w:firstLine="480"/>
        <w:rPr>
          <w:rFonts w:eastAsia="仿宋_GB2312"/>
          <w:sz w:val="24"/>
        </w:rPr>
      </w:pPr>
      <w:r>
        <w:rPr>
          <w:rFonts w:eastAsia="仿宋_GB2312"/>
          <w:sz w:val="24"/>
        </w:rPr>
        <w:t>曙光金铜矿</w:t>
      </w:r>
      <w:r>
        <w:rPr>
          <w:rFonts w:hint="eastAsia" w:eastAsia="仿宋_GB2312"/>
          <w:sz w:val="24"/>
        </w:rPr>
        <w:t>露采场</w:t>
      </w:r>
      <w:r>
        <w:rPr>
          <w:rFonts w:eastAsia="仿宋_GB2312"/>
          <w:sz w:val="24"/>
        </w:rPr>
        <w:t>采用单台阶作业，垂直矿体走向布置工作面，采剥工艺为：电铲剥土</w:t>
      </w:r>
      <w:r>
        <w:rPr>
          <w:rFonts w:hint="eastAsia" w:eastAsia="仿宋_GB2312"/>
          <w:sz w:val="24"/>
        </w:rPr>
        <w:t>-</w:t>
      </w:r>
      <w:r>
        <w:rPr>
          <w:rFonts w:eastAsia="仿宋_GB2312"/>
          <w:sz w:val="24"/>
        </w:rPr>
        <w:t>钻机穿孔</w:t>
      </w:r>
      <w:r>
        <w:rPr>
          <w:rFonts w:hint="eastAsia" w:eastAsia="仿宋_GB2312"/>
          <w:sz w:val="24"/>
        </w:rPr>
        <w:t>-</w:t>
      </w:r>
      <w:r>
        <w:rPr>
          <w:rFonts w:eastAsia="仿宋_GB2312"/>
          <w:sz w:val="24"/>
        </w:rPr>
        <w:t>2</w:t>
      </w:r>
      <w:r>
        <w:rPr>
          <w:rFonts w:hint="eastAsia" w:eastAsia="仿宋_GB2312"/>
          <w:sz w:val="24"/>
        </w:rPr>
        <w:t>#</w:t>
      </w:r>
      <w:r>
        <w:rPr>
          <w:rFonts w:eastAsia="仿宋_GB2312"/>
          <w:sz w:val="24"/>
        </w:rPr>
        <w:t>岩石炸药爆破</w:t>
      </w:r>
      <w:r>
        <w:rPr>
          <w:rFonts w:hint="eastAsia" w:eastAsia="仿宋_GB2312"/>
          <w:sz w:val="24"/>
        </w:rPr>
        <w:t>-</w:t>
      </w:r>
      <w:r>
        <w:rPr>
          <w:rFonts w:eastAsia="仿宋_GB2312"/>
          <w:sz w:val="24"/>
        </w:rPr>
        <w:t>铲车松动</w:t>
      </w:r>
      <w:r>
        <w:rPr>
          <w:rFonts w:hint="eastAsia" w:eastAsia="仿宋_GB2312"/>
          <w:sz w:val="24"/>
        </w:rPr>
        <w:t>-</w:t>
      </w:r>
      <w:r>
        <w:rPr>
          <w:rFonts w:eastAsia="仿宋_GB2312"/>
          <w:sz w:val="24"/>
        </w:rPr>
        <w:t>前装机装载</w:t>
      </w:r>
      <w:r>
        <w:rPr>
          <w:rFonts w:hint="eastAsia" w:eastAsia="仿宋_GB2312"/>
          <w:sz w:val="24"/>
        </w:rPr>
        <w:t>-</w:t>
      </w:r>
      <w:r>
        <w:rPr>
          <w:rFonts w:eastAsia="仿宋_GB2312"/>
          <w:sz w:val="24"/>
        </w:rPr>
        <w:t>自卸汽车运输</w:t>
      </w:r>
      <w:r>
        <w:rPr>
          <w:rFonts w:hint="eastAsia" w:eastAsia="仿宋_GB2312"/>
          <w:sz w:val="24"/>
        </w:rPr>
        <w:t>-</w:t>
      </w:r>
      <w:r>
        <w:rPr>
          <w:rFonts w:eastAsia="仿宋_GB2312"/>
          <w:sz w:val="24"/>
        </w:rPr>
        <w:t>推土机排弃和推矿。</w:t>
      </w:r>
    </w:p>
    <w:p>
      <w:pPr>
        <w:spacing w:beforeLines="0" w:afterLines="0"/>
        <w:ind w:firstLine="480"/>
        <w:rPr>
          <w:rFonts w:eastAsia="仿宋_GB2312"/>
          <w:sz w:val="24"/>
        </w:rPr>
      </w:pPr>
      <w:r>
        <w:rPr>
          <w:rFonts w:hint="eastAsia" w:eastAsia="仿宋_GB2312"/>
          <w:sz w:val="24"/>
        </w:rPr>
        <w:t>（2）</w:t>
      </w:r>
      <w:r>
        <w:rPr>
          <w:rFonts w:eastAsia="仿宋_GB2312"/>
          <w:sz w:val="24"/>
        </w:rPr>
        <w:t>选矿工艺</w:t>
      </w:r>
    </w:p>
    <w:p>
      <w:pPr>
        <w:spacing w:beforeLines="0" w:afterLines="0"/>
        <w:ind w:firstLine="480"/>
        <w:rPr>
          <w:rFonts w:eastAsia="仿宋_GB2312"/>
          <w:sz w:val="24"/>
        </w:rPr>
      </w:pPr>
      <w:r>
        <w:rPr>
          <w:rFonts w:hint="eastAsia" w:eastAsia="仿宋_GB2312"/>
          <w:sz w:val="24"/>
        </w:rPr>
        <w:t>曙光金铜矿目前在运行的选矿厂包括二选厂（处理规模4000t/d）、三选厂（处理规模9500t/d）和一选厂（废石综合利用项目选厂，选矿规模10000t/d）。</w:t>
      </w:r>
    </w:p>
    <w:p>
      <w:pPr>
        <w:spacing w:beforeLines="0" w:afterLines="0"/>
        <w:ind w:firstLine="480"/>
        <w:rPr>
          <w:rFonts w:eastAsia="仿宋_GB2312"/>
          <w:sz w:val="24"/>
        </w:rPr>
      </w:pPr>
      <w:r>
        <w:rPr>
          <w:rFonts w:eastAsia="仿宋_GB2312"/>
          <w:sz w:val="24"/>
        </w:rPr>
        <w:t>二选厂设有破碎、磨矿、重选、浮选和精矿浓缩系统，磨浮为两个平行系列，浮选精矿经浓密机浓缩后送至二选厂的过滤系统过滤。</w:t>
      </w:r>
    </w:p>
    <w:p>
      <w:pPr>
        <w:spacing w:beforeLines="0" w:afterLines="0"/>
        <w:ind w:firstLine="480"/>
        <w:rPr>
          <w:rFonts w:eastAsia="仿宋_GB2312"/>
          <w:sz w:val="24"/>
        </w:rPr>
      </w:pPr>
      <w:r>
        <w:rPr>
          <w:rFonts w:eastAsia="仿宋_GB2312"/>
          <w:sz w:val="24"/>
        </w:rPr>
        <w:t>碎矿：采用三段一闭路碎矿流程。露天开采的-800mm原矿由一台振动放矿机给入一台颚式破碎机，破碎后的产品由带式输送机给入一台中碎圆锥破碎机，中碎后产品由带式输送机送入一台圆振动筛和一台圆振动筛，筛上产品由带式输送机送入缓冲矿仓，再分别由皮带给矿机给入细碎圆锥破碎机，破碎产品通过带式输送机返回到圆振动筛</w:t>
      </w:r>
      <w:r>
        <w:rPr>
          <w:rFonts w:hint="eastAsia" w:eastAsia="仿宋_GB2312"/>
          <w:sz w:val="24"/>
        </w:rPr>
        <w:t>与其</w:t>
      </w:r>
      <w:r>
        <w:rPr>
          <w:rFonts w:eastAsia="仿宋_GB2312"/>
          <w:sz w:val="24"/>
        </w:rPr>
        <w:t>形成闭路。圆振</w:t>
      </w:r>
      <w:r>
        <w:rPr>
          <w:rFonts w:hint="eastAsia" w:eastAsia="仿宋_GB2312"/>
          <w:sz w:val="24"/>
        </w:rPr>
        <w:t>动筛</w:t>
      </w:r>
      <w:r>
        <w:rPr>
          <w:rFonts w:eastAsia="仿宋_GB2312"/>
          <w:sz w:val="24"/>
        </w:rPr>
        <w:t>筛下产品通过带式输送机送入粉矿仓。</w:t>
      </w:r>
    </w:p>
    <w:p>
      <w:pPr>
        <w:spacing w:beforeLines="0" w:afterLines="0"/>
        <w:ind w:firstLine="480"/>
        <w:rPr>
          <w:rFonts w:eastAsia="仿宋_GB2312"/>
          <w:sz w:val="24"/>
        </w:rPr>
      </w:pPr>
      <w:r>
        <w:rPr>
          <w:rFonts w:hint="eastAsia" w:eastAsia="仿宋_GB2312"/>
          <w:sz w:val="24"/>
        </w:rPr>
        <w:t>磨矿采用一段闭路磨矿分级流程。浮选采用一次粗选、三次扫选、三次精选流程。磨矿采用三个系列，浮选采用二个系列，以下叙述为一个系列流程。粉矿仓矿石由带式给矿机经胶带输送机分别给入1#、2#、3#系列的球磨机，1#、2#系列各1台MQY4000×6000溢流型球磨机分别与φ500×6水力旋流器闭路。3#系列1台MQY2700×4000溢流型球磨机与FX350-GT×4水力旋流器闭路。旋流器溢流给入浮选前的XB3500×3500搅拌槽，搅拌后的矿浆进入5台XCF/KYF-II-24浮选机进行粗选，粗选泡沫由5台XCF/KYF-II-4浮选机进行三次精选，粗选后矿浆由16台XCF/KYF-II-24浮选机进行三次扫选。1#、2#系列的浮选尾矿泵送尾矿库，精矿进入脱水作业。</w:t>
      </w:r>
    </w:p>
    <w:p>
      <w:pPr>
        <w:spacing w:beforeLines="0" w:afterLines="0"/>
        <w:ind w:firstLine="480"/>
        <w:rPr>
          <w:rFonts w:eastAsia="仿宋_GB2312"/>
          <w:sz w:val="24"/>
        </w:rPr>
      </w:pPr>
      <w:r>
        <w:rPr>
          <w:rFonts w:eastAsia="仿宋_GB2312"/>
          <w:sz w:val="24"/>
        </w:rPr>
        <w:t>重选：在球磨机排矿与旋流器给矿之间采用尼尔森重选机回收大粒金，得到重砂再用摇床进行精选得到合质金。</w:t>
      </w:r>
    </w:p>
    <w:p>
      <w:pPr>
        <w:spacing w:beforeLines="0" w:afterLines="0"/>
        <w:ind w:firstLine="480"/>
        <w:rPr>
          <w:rFonts w:eastAsia="仿宋_GB2312"/>
          <w:sz w:val="24"/>
        </w:rPr>
      </w:pPr>
      <w:r>
        <w:rPr>
          <w:rFonts w:eastAsia="仿宋_GB2312"/>
          <w:sz w:val="24"/>
        </w:rPr>
        <w:t>脱水：铜精矿进入1台中心传动浓缩机进行浓缩，浓缩机溢流给入沉淀池，浓缩机底流给入1台陶瓷滤机中进行过滤，滤液返回到浓缩机中，滤饼直接卸入精矿池中。</w:t>
      </w:r>
    </w:p>
    <w:p>
      <w:pPr>
        <w:spacing w:beforeLines="0" w:afterLines="0"/>
        <w:ind w:firstLine="480"/>
        <w:rPr>
          <w:rFonts w:eastAsia="仿宋_GB2312"/>
          <w:sz w:val="24"/>
        </w:rPr>
      </w:pPr>
      <w:r>
        <w:rPr>
          <w:rFonts w:eastAsia="仿宋_GB2312"/>
          <w:sz w:val="24"/>
        </w:rPr>
        <w:t>三选厂生产规模达到9500t/d，选矿工艺流程与二选厂相同</w:t>
      </w:r>
      <w:r>
        <w:rPr>
          <w:rFonts w:hint="eastAsia" w:eastAsia="仿宋_GB2312"/>
          <w:sz w:val="24"/>
        </w:rPr>
        <w:t>。</w:t>
      </w:r>
    </w:p>
    <w:p>
      <w:pPr>
        <w:spacing w:beforeLines="0" w:afterLines="0"/>
        <w:ind w:firstLine="480"/>
        <w:rPr>
          <w:rFonts w:eastAsia="仿宋_GB2312"/>
          <w:sz w:val="24"/>
        </w:rPr>
      </w:pPr>
      <w:r>
        <w:rPr>
          <w:rFonts w:hint="eastAsia" w:eastAsia="仿宋_GB2312"/>
          <w:sz w:val="24"/>
        </w:rPr>
        <w:t>一选厂日处理废石10000t/d，选矿工艺流程为“三段一闭路碎矿</w:t>
      </w:r>
      <w:r>
        <w:rPr>
          <w:rFonts w:eastAsia="仿宋_GB2312"/>
          <w:sz w:val="24"/>
        </w:rPr>
        <w:t>+</w:t>
      </w:r>
      <w:r>
        <w:rPr>
          <w:rFonts w:hint="eastAsia" w:eastAsia="仿宋_GB2312"/>
          <w:sz w:val="24"/>
        </w:rPr>
        <w:t>一段球磨二段分级+重选+一粗三扫三精浮选”。</w:t>
      </w:r>
    </w:p>
    <w:p>
      <w:pPr>
        <w:pStyle w:val="4"/>
      </w:pPr>
      <w:r>
        <w:rPr>
          <w:rFonts w:hint="eastAsia"/>
        </w:rPr>
        <w:t>1.3.2 产品及产量</w:t>
      </w:r>
    </w:p>
    <w:p>
      <w:pPr>
        <w:spacing w:beforeLines="0" w:afterLines="0"/>
        <w:ind w:firstLine="480"/>
        <w:rPr>
          <w:rFonts w:eastAsia="仿宋_GB2312"/>
          <w:sz w:val="24"/>
        </w:rPr>
      </w:pPr>
      <w:r>
        <w:rPr>
          <w:rFonts w:eastAsia="仿宋_GB2312"/>
          <w:sz w:val="24"/>
        </w:rPr>
        <w:t>曙光金铜矿</w:t>
      </w:r>
      <w:r>
        <w:rPr>
          <w:rFonts w:hint="eastAsia" w:eastAsia="仿宋_GB2312"/>
          <w:sz w:val="24"/>
        </w:rPr>
        <w:t>2020年主要产品及产量见表1-3。</w:t>
      </w:r>
    </w:p>
    <w:p>
      <w:pPr>
        <w:pStyle w:val="10"/>
        <w:spacing w:beforeLines="0" w:line="240" w:lineRule="auto"/>
      </w:pPr>
      <w:r>
        <w:rPr>
          <w:rFonts w:hint="eastAsia"/>
        </w:rPr>
        <w:t>表1-3  曙光金铜矿2020年产品及产量情况</w:t>
      </w:r>
    </w:p>
    <w:tbl>
      <w:tblPr>
        <w:tblStyle w:val="1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8"/>
        <w:gridCol w:w="2706"/>
        <w:gridCol w:w="2573"/>
        <w:gridCol w:w="2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8" w:hRule="atLeast"/>
          <w:jc w:val="center"/>
        </w:trPr>
        <w:tc>
          <w:tcPr>
            <w:tcW w:w="678" w:type="dxa"/>
            <w:vAlign w:val="center"/>
          </w:tcPr>
          <w:p>
            <w:pPr>
              <w:pStyle w:val="17"/>
              <w:spacing w:before="114" w:beforeLines="30" w:after="114" w:afterLines="30"/>
              <w:rPr>
                <w:rFonts w:ascii="Times New Roman" w:hAnsi="Times New Roman" w:eastAsia="宋体"/>
                <w:b/>
                <w:kern w:val="2"/>
                <w:sz w:val="21"/>
              </w:rPr>
            </w:pPr>
            <w:r>
              <w:rPr>
                <w:rFonts w:ascii="Times New Roman" w:eastAsia="宋体"/>
                <w:b/>
                <w:kern w:val="2"/>
                <w:sz w:val="21"/>
              </w:rPr>
              <w:t>序号</w:t>
            </w:r>
          </w:p>
        </w:tc>
        <w:tc>
          <w:tcPr>
            <w:tcW w:w="2706" w:type="dxa"/>
            <w:vAlign w:val="center"/>
          </w:tcPr>
          <w:p>
            <w:pPr>
              <w:pStyle w:val="17"/>
              <w:spacing w:before="114" w:beforeLines="30" w:after="114" w:afterLines="30"/>
              <w:rPr>
                <w:rFonts w:ascii="Times New Roman" w:hAnsi="Times New Roman" w:eastAsia="宋体"/>
                <w:b/>
                <w:kern w:val="2"/>
                <w:sz w:val="21"/>
              </w:rPr>
            </w:pPr>
            <w:r>
              <w:rPr>
                <w:rFonts w:hint="eastAsia" w:ascii="Times New Roman" w:eastAsia="宋体"/>
                <w:b/>
                <w:kern w:val="2"/>
                <w:sz w:val="21"/>
              </w:rPr>
              <w:t>产品</w:t>
            </w:r>
            <w:r>
              <w:rPr>
                <w:rFonts w:ascii="Times New Roman" w:eastAsia="宋体"/>
                <w:b/>
                <w:kern w:val="2"/>
                <w:sz w:val="21"/>
              </w:rPr>
              <w:t>名称</w:t>
            </w:r>
          </w:p>
        </w:tc>
        <w:tc>
          <w:tcPr>
            <w:tcW w:w="2573" w:type="dxa"/>
            <w:vAlign w:val="center"/>
          </w:tcPr>
          <w:p>
            <w:pPr>
              <w:pStyle w:val="17"/>
              <w:spacing w:before="114" w:beforeLines="30" w:after="114" w:afterLines="30"/>
              <w:rPr>
                <w:rFonts w:ascii="Times New Roman" w:hAnsi="Times New Roman" w:eastAsia="宋体"/>
                <w:b/>
                <w:kern w:val="2"/>
                <w:sz w:val="21"/>
              </w:rPr>
            </w:pPr>
            <w:r>
              <w:rPr>
                <w:rFonts w:ascii="Times New Roman" w:eastAsia="宋体"/>
                <w:b/>
                <w:kern w:val="2"/>
                <w:sz w:val="21"/>
              </w:rPr>
              <w:t>年产量（</w:t>
            </w:r>
            <w:r>
              <w:rPr>
                <w:rFonts w:ascii="Times New Roman" w:hAnsi="Times New Roman" w:eastAsia="宋体"/>
                <w:b/>
                <w:kern w:val="2"/>
                <w:sz w:val="21"/>
              </w:rPr>
              <w:t>t/a</w:t>
            </w:r>
            <w:r>
              <w:rPr>
                <w:rFonts w:ascii="Times New Roman" w:eastAsia="宋体"/>
                <w:b/>
                <w:kern w:val="2"/>
                <w:sz w:val="21"/>
              </w:rPr>
              <w:t>）</w:t>
            </w:r>
          </w:p>
        </w:tc>
        <w:tc>
          <w:tcPr>
            <w:tcW w:w="2565" w:type="dxa"/>
            <w:vAlign w:val="center"/>
          </w:tcPr>
          <w:p>
            <w:pPr>
              <w:pStyle w:val="17"/>
              <w:spacing w:before="114" w:beforeLines="30" w:after="114" w:afterLines="30"/>
              <w:rPr>
                <w:rFonts w:ascii="Times New Roman" w:hAnsi="Times New Roman" w:eastAsia="宋体"/>
                <w:b/>
                <w:kern w:val="2"/>
                <w:sz w:val="21"/>
              </w:rPr>
            </w:pPr>
            <w:r>
              <w:rPr>
                <w:rFonts w:hint="eastAsia" w:ascii="Times New Roman" w:eastAsia="宋体"/>
                <w:b/>
                <w:kern w:val="2"/>
                <w:sz w:val="21"/>
              </w:rPr>
              <w:t>矿石处理量（t/a）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678" w:type="dxa"/>
            <w:vAlign w:val="center"/>
          </w:tcPr>
          <w:p>
            <w:pPr>
              <w:pStyle w:val="17"/>
              <w:spacing w:before="114" w:beforeLines="30" w:after="114" w:afterLines="30"/>
              <w:rPr>
                <w:rFonts w:ascii="Times New Roman" w:hAnsi="Times New Roman" w:eastAsia="宋体"/>
                <w:kern w:val="2"/>
                <w:sz w:val="21"/>
              </w:rPr>
            </w:pPr>
            <w:r>
              <w:rPr>
                <w:rFonts w:ascii="Times New Roman" w:hAnsi="Times New Roman" w:eastAsia="宋体"/>
                <w:kern w:val="2"/>
                <w:sz w:val="21"/>
              </w:rPr>
              <w:t>1</w:t>
            </w:r>
          </w:p>
        </w:tc>
        <w:tc>
          <w:tcPr>
            <w:tcW w:w="2706" w:type="dxa"/>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金（Au）</w:t>
            </w:r>
          </w:p>
        </w:tc>
        <w:tc>
          <w:tcPr>
            <w:tcW w:w="2573" w:type="dxa"/>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2.744068</w:t>
            </w:r>
          </w:p>
        </w:tc>
        <w:tc>
          <w:tcPr>
            <w:tcW w:w="2565" w:type="dxa"/>
            <w:vMerge w:val="restart"/>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9984611.2</w:t>
            </w:r>
            <w:r>
              <w:rPr>
                <w:rFonts w:ascii="Times New Roman" w:hAnsi="Times New Roman" w:eastAsia="宋体"/>
                <w:kern w:val="2"/>
                <w:sz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678" w:type="dxa"/>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2</w:t>
            </w:r>
          </w:p>
        </w:tc>
        <w:tc>
          <w:tcPr>
            <w:tcW w:w="2706" w:type="dxa"/>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铜（Cu）</w:t>
            </w:r>
          </w:p>
        </w:tc>
        <w:tc>
          <w:tcPr>
            <w:tcW w:w="2573" w:type="dxa"/>
            <w:vAlign w:val="center"/>
          </w:tcPr>
          <w:p>
            <w:pPr>
              <w:pStyle w:val="17"/>
              <w:spacing w:before="114" w:beforeLines="30" w:after="114" w:afterLines="30"/>
              <w:rPr>
                <w:rFonts w:ascii="Times New Roman" w:hAnsi="Times New Roman" w:eastAsia="宋体"/>
                <w:kern w:val="2"/>
                <w:sz w:val="21"/>
              </w:rPr>
            </w:pPr>
            <w:r>
              <w:rPr>
                <w:rFonts w:hint="eastAsia" w:ascii="Times New Roman" w:hAnsi="Times New Roman" w:eastAsia="宋体"/>
                <w:kern w:val="2"/>
                <w:sz w:val="21"/>
              </w:rPr>
              <w:t>14405.407</w:t>
            </w:r>
          </w:p>
        </w:tc>
        <w:tc>
          <w:tcPr>
            <w:tcW w:w="2565" w:type="dxa"/>
            <w:vMerge w:val="continue"/>
            <w:vAlign w:val="center"/>
          </w:tcPr>
          <w:p>
            <w:pPr>
              <w:pStyle w:val="17"/>
              <w:spacing w:before="114" w:beforeLines="30" w:after="114" w:afterLines="30"/>
              <w:rPr>
                <w:rFonts w:ascii="Times New Roman" w:hAnsi="Times New Roman" w:eastAsia="宋体"/>
                <w:b/>
                <w:bCs/>
                <w:kern w:val="2"/>
                <w:sz w:val="21"/>
              </w:rPr>
            </w:pPr>
          </w:p>
        </w:tc>
      </w:tr>
    </w:tbl>
    <w:p>
      <w:pPr>
        <w:pStyle w:val="2"/>
        <w:spacing w:beforeLines="0" w:afterLines="0" w:line="240" w:lineRule="auto"/>
        <w:rPr>
          <w:b w:val="0"/>
          <w:sz w:val="30"/>
          <w:szCs w:val="30"/>
        </w:rPr>
        <w:sectPr>
          <w:headerReference r:id="rId11" w:type="default"/>
          <w:footerReference r:id="rId12" w:type="default"/>
          <w:pgSz w:w="11906" w:h="16838"/>
          <w:pgMar w:top="1440" w:right="1800" w:bottom="1440" w:left="1800" w:header="851" w:footer="992" w:gutter="0"/>
          <w:pgNumType w:start="1"/>
          <w:cols w:space="720" w:num="1"/>
          <w:docGrid w:type="lines" w:linePitch="381" w:charSpace="0"/>
        </w:sectPr>
      </w:pPr>
      <w:bookmarkStart w:id="8" w:name="_Toc409074557"/>
      <w:bookmarkStart w:id="9" w:name="_Toc441676824"/>
    </w:p>
    <w:p>
      <w:pPr>
        <w:pStyle w:val="2"/>
        <w:spacing w:beforeLines="0" w:afterLines="0" w:line="240" w:lineRule="auto"/>
        <w:rPr>
          <w:b w:val="0"/>
          <w:sz w:val="30"/>
          <w:szCs w:val="30"/>
        </w:rPr>
      </w:pPr>
      <w:bookmarkStart w:id="10" w:name="_Toc66281434"/>
      <w:r>
        <w:rPr>
          <w:rFonts w:hint="eastAsia"/>
          <w:b w:val="0"/>
          <w:sz w:val="30"/>
          <w:szCs w:val="30"/>
        </w:rPr>
        <w:t>2 污染防治设施的建设和运行情况</w:t>
      </w:r>
      <w:bookmarkEnd w:id="10"/>
    </w:p>
    <w:p>
      <w:pPr>
        <w:pStyle w:val="3"/>
        <w:rPr>
          <w:color w:val="auto"/>
        </w:rPr>
      </w:pPr>
      <w:bookmarkStart w:id="11" w:name="_Toc66281435"/>
      <w:r>
        <w:rPr>
          <w:color w:val="auto"/>
        </w:rPr>
        <w:t>2.1 废气污染防治设施</w:t>
      </w:r>
      <w:bookmarkEnd w:id="11"/>
    </w:p>
    <w:p>
      <w:pPr>
        <w:spacing w:beforeLines="0" w:afterLines="0"/>
        <w:ind w:firstLine="480"/>
        <w:rPr>
          <w:rFonts w:eastAsia="仿宋_GB2312"/>
          <w:sz w:val="24"/>
        </w:rPr>
      </w:pPr>
      <w:r>
        <w:rPr>
          <w:rFonts w:eastAsia="仿宋_GB2312"/>
          <w:sz w:val="24"/>
        </w:rPr>
        <w:t>曙光金铜矿产生的废气主要为</w:t>
      </w:r>
      <w:r>
        <w:rPr>
          <w:rFonts w:hint="eastAsia" w:eastAsia="仿宋_GB2312"/>
          <w:sz w:val="24"/>
        </w:rPr>
        <w:t>破碎、筛分</w:t>
      </w:r>
      <w:r>
        <w:rPr>
          <w:rFonts w:eastAsia="仿宋_GB2312"/>
          <w:sz w:val="24"/>
        </w:rPr>
        <w:t>、</w:t>
      </w:r>
      <w:r>
        <w:rPr>
          <w:rFonts w:hint="eastAsia" w:eastAsia="仿宋_GB2312"/>
          <w:sz w:val="24"/>
        </w:rPr>
        <w:t>露天采场和废石场</w:t>
      </w:r>
      <w:r>
        <w:rPr>
          <w:rFonts w:eastAsia="仿宋_GB2312"/>
          <w:sz w:val="24"/>
        </w:rPr>
        <w:t>粉尘和锅炉烟气。</w:t>
      </w:r>
      <w:r>
        <w:rPr>
          <w:rFonts w:hint="eastAsia" w:eastAsia="仿宋_GB2312"/>
          <w:sz w:val="24"/>
        </w:rPr>
        <w:t>粉尘主要污染物为颗粒物，采暖锅炉排放的烟气主要污染物为SO</w:t>
      </w:r>
      <w:r>
        <w:rPr>
          <w:rFonts w:hint="eastAsia" w:eastAsia="仿宋_GB2312"/>
          <w:sz w:val="24"/>
          <w:vertAlign w:val="subscript"/>
        </w:rPr>
        <w:t>2</w:t>
      </w:r>
      <w:r>
        <w:rPr>
          <w:rFonts w:hint="eastAsia" w:eastAsia="仿宋_GB2312"/>
          <w:sz w:val="24"/>
        </w:rPr>
        <w:t>、NO</w:t>
      </w:r>
      <w:r>
        <w:rPr>
          <w:rFonts w:hint="eastAsia" w:eastAsia="仿宋_GB2312"/>
          <w:sz w:val="24"/>
          <w:vertAlign w:val="subscript"/>
        </w:rPr>
        <w:t>X</w:t>
      </w:r>
      <w:r>
        <w:rPr>
          <w:rFonts w:hint="eastAsia" w:eastAsia="仿宋_GB2312"/>
          <w:sz w:val="24"/>
        </w:rPr>
        <w:t>和颗粒物。</w:t>
      </w:r>
    </w:p>
    <w:p>
      <w:pPr>
        <w:spacing w:beforeLines="0" w:afterLines="0"/>
        <w:ind w:firstLine="480"/>
        <w:rPr>
          <w:rFonts w:eastAsia="仿宋_GB2312"/>
          <w:sz w:val="24"/>
        </w:rPr>
      </w:pPr>
      <w:r>
        <w:rPr>
          <w:rFonts w:hint="eastAsia" w:eastAsia="仿宋_GB2312"/>
          <w:sz w:val="24"/>
        </w:rPr>
        <w:t>对于生产工艺粉尘，二选厂、三选厂对其各自产尘点分别设置了相应的除尘设施，具体如下：</w:t>
      </w:r>
    </w:p>
    <w:p>
      <w:pPr>
        <w:spacing w:beforeLines="0" w:afterLines="0"/>
        <w:ind w:firstLine="480"/>
        <w:rPr>
          <w:rFonts w:eastAsia="仿宋_GB2312"/>
          <w:sz w:val="24"/>
        </w:rPr>
      </w:pPr>
      <w:r>
        <w:rPr>
          <w:rFonts w:hint="eastAsia" w:eastAsia="仿宋_GB2312"/>
          <w:sz w:val="24"/>
        </w:rPr>
        <w:t>①</w:t>
      </w:r>
      <w:r>
        <w:rPr>
          <w:rFonts w:eastAsia="仿宋_GB2312"/>
          <w:sz w:val="24"/>
        </w:rPr>
        <w:t>在粗碎（颚式破碎机）的上部给矿、下部排矿到1#皮带的导料槽处设置密闭抽风罩，采用高效湿式除尘机组除尘。</w:t>
      </w:r>
    </w:p>
    <w:p>
      <w:pPr>
        <w:spacing w:beforeLines="0" w:afterLines="0"/>
        <w:ind w:firstLine="480"/>
        <w:rPr>
          <w:rFonts w:eastAsia="仿宋_GB2312"/>
          <w:sz w:val="24"/>
        </w:rPr>
      </w:pPr>
      <w:r>
        <w:rPr>
          <w:rFonts w:hint="eastAsia" w:eastAsia="仿宋_GB2312"/>
          <w:sz w:val="24"/>
        </w:rPr>
        <w:t>②</w:t>
      </w:r>
      <w:r>
        <w:rPr>
          <w:rFonts w:eastAsia="仿宋_GB2312"/>
          <w:sz w:val="24"/>
        </w:rPr>
        <w:t>在中、细碎（圆锥破碎机）的上部给矿、下部排矿到2#皮带的导料槽处设密闭抽风罩，并在缓冲矿仓也设一处密闭抽风罩，采用1台高效湿式除尘机组除尘。</w:t>
      </w:r>
    </w:p>
    <w:p>
      <w:pPr>
        <w:spacing w:beforeLines="0" w:afterLines="0"/>
        <w:ind w:firstLine="480"/>
        <w:rPr>
          <w:rFonts w:eastAsia="仿宋_GB2312"/>
          <w:sz w:val="24"/>
        </w:rPr>
      </w:pPr>
      <w:r>
        <w:rPr>
          <w:rFonts w:hint="eastAsia" w:eastAsia="仿宋_GB2312"/>
          <w:sz w:val="24"/>
        </w:rPr>
        <w:t>③</w:t>
      </w:r>
      <w:r>
        <w:rPr>
          <w:rFonts w:eastAsia="仿宋_GB2312"/>
          <w:sz w:val="24"/>
        </w:rPr>
        <w:t>筛分振动筛的筛面、筛上块料排料到3#皮带的导料槽处及筛下细料排料到4#皮带的导料槽处均采用局部密闭，采用1台高效湿式除尘机组除尘。</w:t>
      </w:r>
    </w:p>
    <w:p>
      <w:pPr>
        <w:spacing w:beforeLines="0" w:afterLines="0"/>
        <w:ind w:firstLine="480"/>
        <w:rPr>
          <w:rFonts w:eastAsia="仿宋_GB2312"/>
          <w:sz w:val="24"/>
        </w:rPr>
      </w:pPr>
      <w:r>
        <w:rPr>
          <w:rFonts w:hint="eastAsia" w:eastAsia="仿宋_GB2312"/>
          <w:sz w:val="24"/>
        </w:rPr>
        <w:t>一选厂共有三段工序产生粉尘，分别为粗碎工序、中碎细碎工序、筛分工序，每段工序均设置一套粉尘处理装置。但筛分工序产尘量较大，为了提高除尘效率，在该工序安装二合一除尘系统，即一套除尘系统，两台除尘设备。</w:t>
      </w:r>
    </w:p>
    <w:p>
      <w:pPr>
        <w:spacing w:beforeLines="0" w:afterLines="0"/>
        <w:ind w:firstLine="480"/>
        <w:rPr>
          <w:rFonts w:eastAsia="仿宋_GB2312"/>
          <w:sz w:val="24"/>
        </w:rPr>
      </w:pPr>
      <w:r>
        <w:rPr>
          <w:rFonts w:eastAsia="仿宋_GB2312"/>
          <w:sz w:val="24"/>
        </w:rPr>
        <w:t>选厂粉尘经高效湿式除尘机组处理后，</w:t>
      </w:r>
      <w:r>
        <w:rPr>
          <w:rFonts w:hint="eastAsia" w:eastAsia="仿宋_GB2312"/>
          <w:sz w:val="24"/>
        </w:rPr>
        <w:t>各自</w:t>
      </w:r>
      <w:r>
        <w:rPr>
          <w:rFonts w:eastAsia="仿宋_GB2312"/>
          <w:sz w:val="24"/>
        </w:rPr>
        <w:t>经15m高排气筒高空排放。</w:t>
      </w:r>
    </w:p>
    <w:p>
      <w:pPr>
        <w:spacing w:before="152" w:after="152"/>
        <w:ind w:firstLine="480"/>
        <w:rPr>
          <w:highlight w:val="yellow"/>
        </w:rPr>
      </w:pPr>
      <w:r>
        <w:rPr>
          <w:rFonts w:hint="eastAsia" w:eastAsia="仿宋_GB2312"/>
          <w:sz w:val="24"/>
        </w:rPr>
        <w:t>锅炉房内已安装高效脉冲布袋除尘器，烟气经过除尘器处理后，经现有高45m、内径1.2m烟囱高空排放。2</w:t>
      </w:r>
      <w:r>
        <w:rPr>
          <w:rFonts w:eastAsia="仿宋_GB2312"/>
          <w:sz w:val="24"/>
        </w:rPr>
        <w:t>018</w:t>
      </w:r>
      <w:r>
        <w:rPr>
          <w:rFonts w:hint="eastAsia" w:eastAsia="仿宋_GB2312"/>
          <w:sz w:val="24"/>
        </w:rPr>
        <w:t>年，曙光金铜矿对矿区采暖锅炉除尘器进行了升级改造，增设了碱法脱硫装置，确保锅炉大气污染物进一步达标排放，经监测，脱硫效率可达90%。</w:t>
      </w:r>
    </w:p>
    <w:p>
      <w:pPr>
        <w:spacing w:beforeLines="0" w:afterLines="0"/>
        <w:ind w:firstLine="480"/>
        <w:rPr>
          <w:rFonts w:eastAsia="仿宋_GB2312"/>
          <w:sz w:val="24"/>
        </w:rPr>
      </w:pPr>
    </w:p>
    <w:p>
      <w:pPr>
        <w:spacing w:beforeLines="0" w:afterLines="0"/>
        <w:ind w:firstLine="480"/>
        <w:rPr>
          <w:rFonts w:eastAsia="仿宋_GB2312"/>
          <w:sz w:val="24"/>
        </w:rPr>
      </w:pPr>
      <w:r>
        <w:rPr>
          <w:rFonts w:hint="eastAsia" w:eastAsia="仿宋_GB2312"/>
          <w:sz w:val="24"/>
        </w:rPr>
        <w:t>曙光金铜矿</w:t>
      </w:r>
      <w:r>
        <w:rPr>
          <w:rFonts w:eastAsia="仿宋_GB2312"/>
          <w:sz w:val="24"/>
        </w:rPr>
        <w:t>废气污染防治措施见表2-1。</w:t>
      </w:r>
    </w:p>
    <w:p>
      <w:pPr>
        <w:pStyle w:val="10"/>
        <w:spacing w:beforeLines="0" w:line="240" w:lineRule="auto"/>
      </w:pPr>
      <w:r>
        <w:rPr>
          <w:rFonts w:hint="eastAsia"/>
        </w:rPr>
        <w:t>表2-1  废气污染防治设施一览表</w:t>
      </w:r>
    </w:p>
    <w:tbl>
      <w:tblPr>
        <w:tblStyle w:val="11"/>
        <w:tblW w:w="8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2"/>
        <w:gridCol w:w="991"/>
        <w:gridCol w:w="1253"/>
        <w:gridCol w:w="729"/>
        <w:gridCol w:w="835"/>
        <w:gridCol w:w="835"/>
        <w:gridCol w:w="835"/>
        <w:gridCol w:w="835"/>
        <w:gridCol w:w="839"/>
        <w:gridCol w:w="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jc w:val="center"/>
        </w:trPr>
        <w:tc>
          <w:tcPr>
            <w:tcW w:w="442" w:type="dxa"/>
            <w:vMerge w:val="restart"/>
            <w:vAlign w:val="center"/>
          </w:tcPr>
          <w:p>
            <w:pPr>
              <w:spacing w:beforeLines="0" w:afterLines="0" w:line="240" w:lineRule="auto"/>
              <w:ind w:firstLine="0" w:firstLineChars="0"/>
              <w:jc w:val="center"/>
              <w:rPr>
                <w:b/>
                <w:sz w:val="21"/>
              </w:rPr>
            </w:pPr>
            <w:r>
              <w:rPr>
                <w:rFonts w:hint="eastAsia"/>
                <w:b/>
                <w:sz w:val="21"/>
              </w:rPr>
              <w:t>序</w:t>
            </w:r>
          </w:p>
          <w:p>
            <w:pPr>
              <w:spacing w:beforeLines="0" w:afterLines="0" w:line="240" w:lineRule="auto"/>
              <w:ind w:firstLine="0" w:firstLineChars="0"/>
              <w:jc w:val="center"/>
              <w:rPr>
                <w:b/>
                <w:sz w:val="21"/>
              </w:rPr>
            </w:pPr>
            <w:r>
              <w:rPr>
                <w:rFonts w:hint="eastAsia"/>
                <w:b/>
                <w:sz w:val="21"/>
              </w:rPr>
              <w:t>号</w:t>
            </w:r>
          </w:p>
        </w:tc>
        <w:tc>
          <w:tcPr>
            <w:tcW w:w="991" w:type="dxa"/>
            <w:vMerge w:val="restart"/>
            <w:vAlign w:val="center"/>
          </w:tcPr>
          <w:p>
            <w:pPr>
              <w:spacing w:beforeLines="0" w:afterLines="0" w:line="240" w:lineRule="auto"/>
              <w:ind w:firstLine="0" w:firstLineChars="0"/>
              <w:jc w:val="center"/>
              <w:rPr>
                <w:b/>
                <w:sz w:val="21"/>
              </w:rPr>
            </w:pPr>
            <w:r>
              <w:rPr>
                <w:rFonts w:hint="eastAsia"/>
                <w:b/>
                <w:sz w:val="21"/>
              </w:rPr>
              <w:t>治理设施名称</w:t>
            </w:r>
          </w:p>
        </w:tc>
        <w:tc>
          <w:tcPr>
            <w:tcW w:w="1253" w:type="dxa"/>
            <w:vMerge w:val="restart"/>
            <w:vAlign w:val="center"/>
          </w:tcPr>
          <w:p>
            <w:pPr>
              <w:spacing w:beforeLines="0" w:afterLines="0" w:line="240" w:lineRule="auto"/>
              <w:ind w:firstLine="0" w:firstLineChars="0"/>
              <w:jc w:val="center"/>
              <w:rPr>
                <w:b/>
                <w:sz w:val="21"/>
              </w:rPr>
            </w:pPr>
            <w:r>
              <w:rPr>
                <w:rFonts w:hint="eastAsia"/>
                <w:b/>
                <w:sz w:val="21"/>
              </w:rPr>
              <w:t>产生废气设施或工序</w:t>
            </w:r>
          </w:p>
        </w:tc>
        <w:tc>
          <w:tcPr>
            <w:tcW w:w="729" w:type="dxa"/>
            <w:vMerge w:val="restart"/>
            <w:vAlign w:val="center"/>
          </w:tcPr>
          <w:p>
            <w:pPr>
              <w:spacing w:beforeLines="0" w:afterLines="0" w:line="240" w:lineRule="auto"/>
              <w:ind w:firstLine="0" w:firstLineChars="0"/>
              <w:jc w:val="center"/>
              <w:rPr>
                <w:b/>
                <w:sz w:val="21"/>
              </w:rPr>
            </w:pPr>
            <w:r>
              <w:rPr>
                <w:rFonts w:hint="eastAsia"/>
                <w:b/>
                <w:sz w:val="21"/>
              </w:rPr>
              <w:t>主要污染物</w:t>
            </w:r>
          </w:p>
        </w:tc>
        <w:tc>
          <w:tcPr>
            <w:tcW w:w="4179" w:type="dxa"/>
            <w:gridSpan w:val="5"/>
            <w:vAlign w:val="center"/>
          </w:tcPr>
          <w:p>
            <w:pPr>
              <w:spacing w:beforeLines="0" w:afterLines="0" w:line="240" w:lineRule="auto"/>
              <w:ind w:firstLine="0" w:firstLineChars="0"/>
              <w:jc w:val="center"/>
              <w:rPr>
                <w:b/>
                <w:sz w:val="21"/>
              </w:rPr>
            </w:pPr>
            <w:r>
              <w:rPr>
                <w:rFonts w:hint="eastAsia"/>
                <w:b/>
                <w:sz w:val="21"/>
              </w:rPr>
              <w:t>废气污染防治设施</w:t>
            </w:r>
          </w:p>
        </w:tc>
        <w:tc>
          <w:tcPr>
            <w:tcW w:w="742" w:type="dxa"/>
            <w:vMerge w:val="restart"/>
            <w:vAlign w:val="center"/>
          </w:tcPr>
          <w:p>
            <w:pPr>
              <w:spacing w:beforeLines="0" w:afterLines="0" w:line="240" w:lineRule="auto"/>
              <w:ind w:firstLine="0" w:firstLineChars="0"/>
              <w:jc w:val="center"/>
              <w:rPr>
                <w:b/>
                <w:sz w:val="21"/>
              </w:rPr>
            </w:pPr>
            <w:r>
              <w:rPr>
                <w:rFonts w:hint="eastAsia"/>
                <w:b/>
                <w:sz w:val="21"/>
              </w:rPr>
              <w:t>排气筒</w:t>
            </w:r>
          </w:p>
          <w:p>
            <w:pPr>
              <w:spacing w:beforeLines="0" w:afterLines="0" w:line="240" w:lineRule="auto"/>
              <w:ind w:firstLine="0" w:firstLineChars="0"/>
              <w:jc w:val="center"/>
              <w:rPr>
                <w:b/>
                <w:sz w:val="21"/>
              </w:rPr>
            </w:pPr>
            <w:r>
              <w:rPr>
                <w:rFonts w:hint="eastAsia"/>
                <w:b/>
                <w:sz w:val="21"/>
              </w:rPr>
              <w:t>高度（m）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081" w:hRule="atLeast"/>
          <w:tblHeader/>
          <w:jc w:val="center"/>
        </w:trPr>
        <w:tc>
          <w:tcPr>
            <w:tcW w:w="442" w:type="dxa"/>
            <w:vMerge w:val="continue"/>
            <w:vAlign w:val="center"/>
          </w:tcPr>
          <w:p>
            <w:pPr>
              <w:spacing w:beforeLines="0" w:afterLines="0" w:line="240" w:lineRule="auto"/>
              <w:ind w:firstLine="0" w:firstLineChars="0"/>
              <w:jc w:val="center"/>
              <w:rPr>
                <w:sz w:val="21"/>
              </w:rPr>
            </w:pPr>
          </w:p>
        </w:tc>
        <w:tc>
          <w:tcPr>
            <w:tcW w:w="991" w:type="dxa"/>
            <w:vMerge w:val="continue"/>
            <w:vAlign w:val="center"/>
          </w:tcPr>
          <w:p>
            <w:pPr>
              <w:spacing w:beforeLines="0" w:afterLines="0" w:line="240" w:lineRule="auto"/>
              <w:ind w:firstLine="0" w:firstLineChars="0"/>
              <w:jc w:val="center"/>
              <w:rPr>
                <w:sz w:val="21"/>
              </w:rPr>
            </w:pPr>
          </w:p>
        </w:tc>
        <w:tc>
          <w:tcPr>
            <w:tcW w:w="1253" w:type="dxa"/>
            <w:vMerge w:val="continue"/>
            <w:vAlign w:val="center"/>
          </w:tcPr>
          <w:p>
            <w:pPr>
              <w:spacing w:beforeLines="0" w:afterLines="0" w:line="240" w:lineRule="auto"/>
              <w:ind w:firstLine="0" w:firstLineChars="0"/>
              <w:jc w:val="center"/>
              <w:rPr>
                <w:sz w:val="21"/>
              </w:rPr>
            </w:pPr>
          </w:p>
        </w:tc>
        <w:tc>
          <w:tcPr>
            <w:tcW w:w="729" w:type="dxa"/>
            <w:vMerge w:val="continue"/>
            <w:vAlign w:val="center"/>
          </w:tcPr>
          <w:p>
            <w:pPr>
              <w:spacing w:beforeLines="0" w:afterLines="0" w:line="240" w:lineRule="auto"/>
              <w:ind w:firstLine="0" w:firstLineChars="0"/>
              <w:jc w:val="center"/>
              <w:rPr>
                <w:sz w:val="21"/>
              </w:rPr>
            </w:pPr>
          </w:p>
        </w:tc>
        <w:tc>
          <w:tcPr>
            <w:tcW w:w="835" w:type="dxa"/>
            <w:vAlign w:val="center"/>
          </w:tcPr>
          <w:p>
            <w:pPr>
              <w:spacing w:beforeLines="0" w:afterLines="0" w:line="240" w:lineRule="auto"/>
              <w:ind w:firstLine="0" w:firstLineChars="0"/>
              <w:jc w:val="center"/>
              <w:rPr>
                <w:b/>
                <w:sz w:val="21"/>
              </w:rPr>
            </w:pPr>
            <w:r>
              <w:rPr>
                <w:rFonts w:hint="eastAsia"/>
                <w:b/>
                <w:sz w:val="21"/>
              </w:rPr>
              <w:t>处理</w:t>
            </w:r>
          </w:p>
          <w:p>
            <w:pPr>
              <w:spacing w:beforeLines="0" w:afterLines="0" w:line="240" w:lineRule="auto"/>
              <w:ind w:firstLine="0" w:firstLineChars="0"/>
              <w:jc w:val="center"/>
              <w:rPr>
                <w:b/>
                <w:sz w:val="21"/>
              </w:rPr>
            </w:pPr>
            <w:r>
              <w:rPr>
                <w:rFonts w:hint="eastAsia"/>
                <w:b/>
                <w:sz w:val="21"/>
              </w:rPr>
              <w:t>工艺</w:t>
            </w:r>
          </w:p>
        </w:tc>
        <w:tc>
          <w:tcPr>
            <w:tcW w:w="835" w:type="dxa"/>
            <w:vAlign w:val="center"/>
          </w:tcPr>
          <w:p>
            <w:pPr>
              <w:spacing w:beforeLines="0" w:afterLines="0" w:line="240" w:lineRule="auto"/>
              <w:ind w:firstLine="0" w:firstLineChars="0"/>
              <w:jc w:val="center"/>
              <w:rPr>
                <w:b/>
                <w:sz w:val="21"/>
              </w:rPr>
            </w:pPr>
            <w:r>
              <w:rPr>
                <w:rFonts w:hint="eastAsia"/>
                <w:b/>
                <w:sz w:val="21"/>
              </w:rPr>
              <w:t>处理能力</w:t>
            </w:r>
          </w:p>
        </w:tc>
        <w:tc>
          <w:tcPr>
            <w:tcW w:w="835" w:type="dxa"/>
            <w:vAlign w:val="center"/>
          </w:tcPr>
          <w:p>
            <w:pPr>
              <w:spacing w:beforeLines="0" w:afterLines="0" w:line="240" w:lineRule="auto"/>
              <w:ind w:firstLine="0" w:firstLineChars="0"/>
              <w:jc w:val="center"/>
              <w:rPr>
                <w:b/>
                <w:sz w:val="21"/>
              </w:rPr>
            </w:pPr>
            <w:r>
              <w:rPr>
                <w:rFonts w:hint="eastAsia"/>
                <w:b/>
                <w:sz w:val="21"/>
              </w:rPr>
              <w:t>运行时间（h/a）</w:t>
            </w:r>
          </w:p>
        </w:tc>
        <w:tc>
          <w:tcPr>
            <w:tcW w:w="835" w:type="dxa"/>
            <w:vAlign w:val="center"/>
          </w:tcPr>
          <w:p>
            <w:pPr>
              <w:spacing w:beforeLines="0" w:afterLines="0" w:line="240" w:lineRule="auto"/>
              <w:ind w:firstLine="0" w:firstLineChars="0"/>
              <w:jc w:val="center"/>
              <w:rPr>
                <w:b/>
                <w:sz w:val="21"/>
              </w:rPr>
            </w:pPr>
            <w:r>
              <w:rPr>
                <w:rFonts w:hint="eastAsia"/>
                <w:b/>
                <w:sz w:val="21"/>
              </w:rPr>
              <w:t>主体工程运行时间</w:t>
            </w:r>
          </w:p>
          <w:p>
            <w:pPr>
              <w:spacing w:beforeLines="0" w:afterLines="0" w:line="240" w:lineRule="auto"/>
              <w:ind w:firstLine="0" w:firstLineChars="0"/>
              <w:jc w:val="center"/>
              <w:rPr>
                <w:b/>
                <w:sz w:val="21"/>
              </w:rPr>
            </w:pPr>
            <w:r>
              <w:rPr>
                <w:rFonts w:hint="eastAsia"/>
                <w:b/>
                <w:sz w:val="21"/>
              </w:rPr>
              <w:t>（h）</w:t>
            </w:r>
          </w:p>
        </w:tc>
        <w:tc>
          <w:tcPr>
            <w:tcW w:w="839" w:type="dxa"/>
            <w:vAlign w:val="center"/>
          </w:tcPr>
          <w:p>
            <w:pPr>
              <w:spacing w:beforeLines="0" w:afterLines="0" w:line="240" w:lineRule="auto"/>
              <w:ind w:firstLine="0" w:firstLineChars="0"/>
              <w:jc w:val="center"/>
              <w:rPr>
                <w:b/>
                <w:sz w:val="21"/>
              </w:rPr>
            </w:pPr>
            <w:r>
              <w:rPr>
                <w:rFonts w:hint="eastAsia"/>
                <w:b/>
                <w:sz w:val="21"/>
              </w:rPr>
              <w:t>同步运转率（%）</w:t>
            </w:r>
          </w:p>
        </w:tc>
        <w:tc>
          <w:tcPr>
            <w:tcW w:w="742" w:type="dxa"/>
            <w:vMerge w:val="continue"/>
            <w:vAlign w:val="center"/>
          </w:tcPr>
          <w:p>
            <w:pPr>
              <w:spacing w:beforeLines="0" w:afterLines="0"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1</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4000t/d</w:t>
            </w:r>
            <w:r>
              <w:rPr>
                <w:bCs/>
                <w:sz w:val="21"/>
              </w:rPr>
              <w:t>粗碎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20997</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2</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4000t/d中细</w:t>
            </w:r>
            <w:r>
              <w:rPr>
                <w:bCs/>
                <w:sz w:val="21"/>
              </w:rPr>
              <w:t>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27927</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3</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4000t/d</w:t>
            </w:r>
            <w:r>
              <w:rPr>
                <w:bCs/>
                <w:sz w:val="21"/>
              </w:rPr>
              <w:t>筛分</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29843</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4</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9500t/d</w:t>
            </w:r>
            <w:r>
              <w:rPr>
                <w:bCs/>
                <w:sz w:val="21"/>
              </w:rPr>
              <w:t>粗碎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26488</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5</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9500t/d中细</w:t>
            </w:r>
            <w:r>
              <w:rPr>
                <w:bCs/>
                <w:sz w:val="21"/>
              </w:rPr>
              <w:t>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30042</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6</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sz w:val="21"/>
              </w:rPr>
            </w:pPr>
            <w:r>
              <w:rPr>
                <w:rFonts w:hint="eastAsia"/>
                <w:bCs/>
                <w:sz w:val="21"/>
              </w:rPr>
              <w:t>9500t/d</w:t>
            </w:r>
            <w:r>
              <w:rPr>
                <w:bCs/>
                <w:sz w:val="21"/>
              </w:rPr>
              <w:t>筛分</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spacing w:beforeLines="0" w:afterLines="0" w:line="240" w:lineRule="auto"/>
              <w:ind w:firstLine="0" w:firstLineChars="0"/>
              <w:jc w:val="center"/>
              <w:rPr>
                <w:sz w:val="21"/>
                <w:szCs w:val="21"/>
              </w:rPr>
            </w:pPr>
            <w:r>
              <w:rPr>
                <w:sz w:val="21"/>
                <w:szCs w:val="21"/>
              </w:rPr>
              <w:t>41963</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7</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bCs/>
                <w:sz w:val="21"/>
              </w:rPr>
            </w:pPr>
            <w:r>
              <w:rPr>
                <w:rFonts w:hint="eastAsia"/>
                <w:bCs/>
                <w:sz w:val="21"/>
              </w:rPr>
              <w:t>10000t/d破碎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16350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8</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bCs/>
                <w:sz w:val="21"/>
              </w:rPr>
            </w:pPr>
            <w:r>
              <w:rPr>
                <w:rFonts w:hint="eastAsia"/>
                <w:bCs/>
                <w:sz w:val="21"/>
              </w:rPr>
              <w:t>10000t/d破碎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53900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9</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bCs/>
                <w:sz w:val="21"/>
              </w:rPr>
            </w:pPr>
            <w:r>
              <w:rPr>
                <w:rFonts w:hint="eastAsia"/>
                <w:bCs/>
                <w:sz w:val="21"/>
              </w:rPr>
              <w:t>10000t/d破碎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53900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10</w:t>
            </w:r>
          </w:p>
        </w:tc>
        <w:tc>
          <w:tcPr>
            <w:tcW w:w="991" w:type="dxa"/>
            <w:vAlign w:val="center"/>
          </w:tcPr>
          <w:p>
            <w:pPr>
              <w:spacing w:beforeLines="0" w:afterLines="0" w:line="240" w:lineRule="auto"/>
              <w:ind w:firstLine="0" w:firstLineChars="0"/>
              <w:jc w:val="center"/>
              <w:rPr>
                <w:sz w:val="21"/>
              </w:rPr>
            </w:pPr>
            <w:r>
              <w:rPr>
                <w:rFonts w:hint="eastAsia"/>
                <w:sz w:val="21"/>
              </w:rPr>
              <w:t>湿式</w:t>
            </w:r>
          </w:p>
          <w:p>
            <w:pPr>
              <w:spacing w:beforeLines="0" w:afterLines="0" w:line="240" w:lineRule="auto"/>
              <w:ind w:firstLine="0" w:firstLineChars="0"/>
              <w:jc w:val="center"/>
              <w:rPr>
                <w:sz w:val="21"/>
              </w:rPr>
            </w:pPr>
            <w:r>
              <w:rPr>
                <w:rFonts w:hint="eastAsia"/>
                <w:sz w:val="21"/>
              </w:rPr>
              <w:t>除尘器</w:t>
            </w:r>
          </w:p>
        </w:tc>
        <w:tc>
          <w:tcPr>
            <w:tcW w:w="1253" w:type="dxa"/>
            <w:vAlign w:val="center"/>
          </w:tcPr>
          <w:p>
            <w:pPr>
              <w:spacing w:beforeLines="0" w:afterLines="0" w:line="240" w:lineRule="auto"/>
              <w:ind w:firstLine="0" w:firstLineChars="0"/>
              <w:jc w:val="center"/>
              <w:rPr>
                <w:bCs/>
                <w:sz w:val="21"/>
              </w:rPr>
            </w:pPr>
            <w:r>
              <w:rPr>
                <w:rFonts w:hint="eastAsia"/>
                <w:bCs/>
                <w:sz w:val="21"/>
              </w:rPr>
              <w:t>10000t/d破碎</w:t>
            </w:r>
          </w:p>
        </w:tc>
        <w:tc>
          <w:tcPr>
            <w:tcW w:w="729" w:type="dxa"/>
            <w:vAlign w:val="center"/>
          </w:tcPr>
          <w:p>
            <w:pPr>
              <w:spacing w:beforeLines="0" w:afterLines="0" w:line="240" w:lineRule="auto"/>
              <w:ind w:firstLine="0" w:firstLineChars="0"/>
              <w:jc w:val="center"/>
              <w:rPr>
                <w:sz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除尘</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53900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158"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11</w:t>
            </w:r>
          </w:p>
        </w:tc>
        <w:tc>
          <w:tcPr>
            <w:tcW w:w="991" w:type="dxa"/>
            <w:vAlign w:val="center"/>
          </w:tcPr>
          <w:p>
            <w:pPr>
              <w:spacing w:beforeLines="0" w:afterLines="0" w:line="240" w:lineRule="auto"/>
              <w:ind w:firstLine="0" w:firstLineChars="0"/>
              <w:jc w:val="center"/>
              <w:rPr>
                <w:sz w:val="21"/>
              </w:rPr>
            </w:pPr>
            <w:r>
              <w:rPr>
                <w:rFonts w:hint="eastAsia"/>
                <w:sz w:val="21"/>
              </w:rPr>
              <w:t>高效脉冲布袋除尘器</w:t>
            </w:r>
          </w:p>
        </w:tc>
        <w:tc>
          <w:tcPr>
            <w:tcW w:w="1253" w:type="dxa"/>
            <w:vAlign w:val="center"/>
          </w:tcPr>
          <w:p>
            <w:pPr>
              <w:spacing w:beforeLines="0" w:afterLines="0" w:line="240" w:lineRule="auto"/>
              <w:ind w:firstLine="0" w:firstLineChars="0"/>
              <w:jc w:val="center"/>
              <w:rPr>
                <w:bCs/>
                <w:sz w:val="21"/>
              </w:rPr>
            </w:pPr>
            <w:r>
              <w:rPr>
                <w:bCs/>
                <w:sz w:val="21"/>
              </w:rPr>
              <w:t>锅炉</w:t>
            </w:r>
            <w:r>
              <w:rPr>
                <w:rFonts w:hint="eastAsia"/>
                <w:bCs/>
                <w:sz w:val="21"/>
              </w:rPr>
              <w:t>（2×10t/h）</w:t>
            </w:r>
          </w:p>
        </w:tc>
        <w:tc>
          <w:tcPr>
            <w:tcW w:w="729" w:type="dxa"/>
            <w:vAlign w:val="center"/>
          </w:tcPr>
          <w:p>
            <w:pPr>
              <w:spacing w:beforeLines="0" w:afterLines="0" w:line="240" w:lineRule="auto"/>
              <w:ind w:firstLine="0" w:firstLineChars="0"/>
              <w:jc w:val="center"/>
              <w:rPr>
                <w:bCs/>
                <w:sz w:val="21"/>
              </w:rPr>
            </w:pPr>
            <w:r>
              <w:rPr>
                <w:bCs/>
                <w:sz w:val="21"/>
              </w:rPr>
              <w:t>烟尘</w:t>
            </w:r>
          </w:p>
          <w:p>
            <w:pPr>
              <w:spacing w:beforeLines="0" w:afterLines="0" w:line="240" w:lineRule="auto"/>
              <w:ind w:firstLine="0" w:firstLineChars="0"/>
              <w:jc w:val="center"/>
              <w:rPr>
                <w:bCs/>
                <w:sz w:val="21"/>
                <w:vertAlign w:val="subscript"/>
              </w:rPr>
            </w:pPr>
            <w:r>
              <w:rPr>
                <w:bCs/>
                <w:sz w:val="21"/>
              </w:rPr>
              <w:t>SO</w:t>
            </w:r>
            <w:r>
              <w:rPr>
                <w:bCs/>
                <w:sz w:val="21"/>
                <w:vertAlign w:val="subscript"/>
              </w:rPr>
              <w:t>2</w:t>
            </w:r>
          </w:p>
          <w:p>
            <w:pPr>
              <w:spacing w:beforeLines="0" w:afterLines="0" w:line="240" w:lineRule="auto"/>
              <w:ind w:firstLine="0" w:firstLineChars="0"/>
              <w:jc w:val="center"/>
              <w:rPr>
                <w:bCs/>
                <w:sz w:val="21"/>
              </w:rPr>
            </w:pPr>
            <w:r>
              <w:rPr>
                <w:bCs/>
                <w:sz w:val="21"/>
              </w:rPr>
              <w:t>NOx</w:t>
            </w:r>
          </w:p>
        </w:tc>
        <w:tc>
          <w:tcPr>
            <w:tcW w:w="835" w:type="dxa"/>
            <w:vAlign w:val="center"/>
          </w:tcPr>
          <w:p>
            <w:pPr>
              <w:spacing w:beforeLines="0" w:afterLines="0" w:line="240" w:lineRule="auto"/>
              <w:ind w:firstLine="0" w:firstLineChars="0"/>
              <w:jc w:val="center"/>
              <w:rPr>
                <w:bCs/>
                <w:sz w:val="21"/>
                <w:szCs w:val="21"/>
              </w:rPr>
            </w:pPr>
            <w:r>
              <w:rPr>
                <w:rFonts w:hint="eastAsia"/>
                <w:bCs/>
                <w:sz w:val="21"/>
              </w:rPr>
              <w:t>除尘和脱硫</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51000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4320</w:t>
            </w:r>
          </w:p>
        </w:tc>
        <w:tc>
          <w:tcPr>
            <w:tcW w:w="835"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4320</w:t>
            </w:r>
          </w:p>
        </w:tc>
        <w:tc>
          <w:tcPr>
            <w:tcW w:w="839" w:type="dxa"/>
            <w:vAlign w:val="center"/>
          </w:tcPr>
          <w:p>
            <w:pPr>
              <w:spacing w:beforeLines="0" w:afterLines="0" w:line="240" w:lineRule="auto"/>
              <w:ind w:firstLine="0" w:firstLineChars="0"/>
              <w:jc w:val="center"/>
              <w:rPr>
                <w:sz w:val="21"/>
              </w:rPr>
            </w:pPr>
            <w:r>
              <w:rPr>
                <w:rFonts w:hint="eastAsia"/>
                <w:sz w:val="21"/>
              </w:rPr>
              <w:t>100</w:t>
            </w:r>
          </w:p>
        </w:tc>
        <w:tc>
          <w:tcPr>
            <w:tcW w:w="742" w:type="dxa"/>
            <w:vAlign w:val="center"/>
          </w:tcPr>
          <w:p>
            <w:pPr>
              <w:spacing w:beforeLines="0" w:afterLines="0" w:line="240" w:lineRule="auto"/>
              <w:ind w:firstLine="0" w:firstLineChars="0"/>
              <w:jc w:val="center"/>
              <w:rPr>
                <w:sz w:val="21"/>
              </w:rPr>
            </w:pPr>
            <w:r>
              <w:rPr>
                <w:rFonts w:hint="eastAsia"/>
                <w:sz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12</w:t>
            </w:r>
          </w:p>
        </w:tc>
        <w:tc>
          <w:tcPr>
            <w:tcW w:w="991"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洒水车</w:t>
            </w:r>
          </w:p>
        </w:tc>
        <w:tc>
          <w:tcPr>
            <w:tcW w:w="1253"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采矿场无组织排放</w:t>
            </w:r>
          </w:p>
        </w:tc>
        <w:tc>
          <w:tcPr>
            <w:tcW w:w="729"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sz w:val="21"/>
              </w:rPr>
              <w:t>颗粒物</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抑尘</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9" w:type="dxa"/>
            <w:vAlign w:val="center"/>
          </w:tcPr>
          <w:p>
            <w:pPr>
              <w:spacing w:beforeLines="0" w:afterLines="0" w:line="240" w:lineRule="auto"/>
              <w:ind w:firstLine="0" w:firstLineChars="0"/>
              <w:jc w:val="center"/>
              <w:rPr>
                <w:sz w:val="21"/>
              </w:rPr>
            </w:pPr>
            <w:r>
              <w:rPr>
                <w:rFonts w:hint="eastAsia"/>
                <w:bCs/>
                <w:sz w:val="21"/>
                <w:szCs w:val="21"/>
              </w:rPr>
              <w:t>/</w:t>
            </w:r>
          </w:p>
        </w:tc>
        <w:tc>
          <w:tcPr>
            <w:tcW w:w="742" w:type="dxa"/>
            <w:vAlign w:val="center"/>
          </w:tcPr>
          <w:p>
            <w:pPr>
              <w:spacing w:beforeLines="0" w:afterLines="0" w:line="240" w:lineRule="auto"/>
              <w:ind w:firstLine="0" w:firstLineChars="0"/>
              <w:jc w:val="center"/>
              <w:rPr>
                <w:sz w:val="21"/>
              </w:rPr>
            </w:pPr>
            <w:r>
              <w:rPr>
                <w:rFonts w:hint="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jc w:val="center"/>
        </w:trPr>
        <w:tc>
          <w:tcPr>
            <w:tcW w:w="442" w:type="dxa"/>
            <w:vAlign w:val="center"/>
          </w:tcPr>
          <w:p>
            <w:pPr>
              <w:spacing w:beforeLines="0" w:afterLines="0" w:line="240" w:lineRule="auto"/>
              <w:ind w:firstLine="0" w:firstLineChars="0"/>
              <w:jc w:val="center"/>
              <w:rPr>
                <w:sz w:val="21"/>
              </w:rPr>
            </w:pPr>
            <w:r>
              <w:rPr>
                <w:rFonts w:hint="eastAsia"/>
                <w:sz w:val="21"/>
              </w:rPr>
              <w:t>13</w:t>
            </w:r>
          </w:p>
        </w:tc>
        <w:tc>
          <w:tcPr>
            <w:tcW w:w="991"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轴流通风机</w:t>
            </w:r>
          </w:p>
        </w:tc>
        <w:tc>
          <w:tcPr>
            <w:tcW w:w="1253"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药剂</w:t>
            </w:r>
          </w:p>
          <w:p>
            <w:pPr>
              <w:pStyle w:val="16"/>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制备房</w:t>
            </w:r>
          </w:p>
        </w:tc>
        <w:tc>
          <w:tcPr>
            <w:tcW w:w="729" w:type="dxa"/>
            <w:vAlign w:val="center"/>
          </w:tcPr>
          <w:p>
            <w:pPr>
              <w:pStyle w:val="16"/>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挥发性气体</w:t>
            </w:r>
          </w:p>
        </w:tc>
        <w:tc>
          <w:tcPr>
            <w:tcW w:w="835" w:type="dxa"/>
            <w:vAlign w:val="center"/>
          </w:tcPr>
          <w:p>
            <w:pPr>
              <w:spacing w:beforeLines="0" w:afterLines="0" w:line="240" w:lineRule="auto"/>
              <w:ind w:firstLine="0" w:firstLineChars="0"/>
              <w:jc w:val="center"/>
              <w:rPr>
                <w:rFonts w:eastAsiaTheme="minorEastAsia"/>
                <w:kern w:val="0"/>
                <w:sz w:val="21"/>
                <w:szCs w:val="21"/>
              </w:rPr>
            </w:pPr>
            <w:r>
              <w:rPr>
                <w:rFonts w:eastAsiaTheme="minorEastAsia"/>
                <w:kern w:val="0"/>
                <w:sz w:val="21"/>
                <w:szCs w:val="21"/>
              </w:rPr>
              <w:t>通风</w:t>
            </w:r>
          </w:p>
          <w:p>
            <w:pPr>
              <w:spacing w:beforeLines="0" w:afterLines="0" w:line="240" w:lineRule="auto"/>
              <w:ind w:firstLine="0" w:firstLineChars="0"/>
              <w:jc w:val="center"/>
              <w:rPr>
                <w:rFonts w:eastAsiaTheme="minorEastAsia"/>
                <w:kern w:val="0"/>
                <w:sz w:val="21"/>
                <w:szCs w:val="21"/>
              </w:rPr>
            </w:pPr>
            <w:r>
              <w:rPr>
                <w:rFonts w:eastAsiaTheme="minorEastAsia"/>
                <w:kern w:val="0"/>
                <w:sz w:val="21"/>
                <w:szCs w:val="21"/>
              </w:rPr>
              <w:t>换气</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5" w:type="dxa"/>
            <w:vAlign w:val="center"/>
          </w:tcPr>
          <w:p>
            <w:pPr>
              <w:spacing w:beforeLines="0" w:afterLines="0" w:line="240" w:lineRule="auto"/>
              <w:ind w:firstLine="0" w:firstLineChars="0"/>
              <w:jc w:val="center"/>
              <w:rPr>
                <w:bCs/>
                <w:sz w:val="21"/>
                <w:szCs w:val="21"/>
              </w:rPr>
            </w:pPr>
            <w:r>
              <w:rPr>
                <w:rFonts w:hint="eastAsia"/>
                <w:bCs/>
                <w:sz w:val="21"/>
                <w:szCs w:val="21"/>
              </w:rPr>
              <w:t>/</w:t>
            </w:r>
          </w:p>
        </w:tc>
        <w:tc>
          <w:tcPr>
            <w:tcW w:w="839" w:type="dxa"/>
            <w:vAlign w:val="center"/>
          </w:tcPr>
          <w:p>
            <w:pPr>
              <w:spacing w:beforeLines="0" w:afterLines="0" w:line="240" w:lineRule="auto"/>
              <w:ind w:firstLine="0" w:firstLineChars="0"/>
              <w:jc w:val="center"/>
              <w:rPr>
                <w:sz w:val="21"/>
              </w:rPr>
            </w:pPr>
            <w:r>
              <w:rPr>
                <w:rFonts w:hint="eastAsia"/>
                <w:bCs/>
                <w:sz w:val="21"/>
                <w:szCs w:val="21"/>
              </w:rPr>
              <w:t>/</w:t>
            </w:r>
          </w:p>
        </w:tc>
        <w:tc>
          <w:tcPr>
            <w:tcW w:w="742" w:type="dxa"/>
            <w:vAlign w:val="center"/>
          </w:tcPr>
          <w:p>
            <w:pPr>
              <w:spacing w:beforeLines="0" w:afterLines="0" w:line="240" w:lineRule="auto"/>
              <w:ind w:firstLine="0" w:firstLineChars="0"/>
              <w:jc w:val="center"/>
              <w:rPr>
                <w:sz w:val="21"/>
              </w:rPr>
            </w:pPr>
            <w:r>
              <w:rPr>
                <w:rFonts w:hint="eastAsia"/>
                <w:bCs/>
                <w:sz w:val="21"/>
                <w:szCs w:val="21"/>
              </w:rPr>
              <w:t>/</w:t>
            </w:r>
          </w:p>
        </w:tc>
      </w:tr>
    </w:tbl>
    <w:p>
      <w:pPr>
        <w:pStyle w:val="3"/>
        <w:rPr>
          <w:color w:val="auto"/>
        </w:rPr>
      </w:pPr>
      <w:bookmarkStart w:id="12" w:name="_Toc66281436"/>
      <w:r>
        <w:rPr>
          <w:color w:val="auto"/>
        </w:rPr>
        <w:t>2.2 废水污染防治</w:t>
      </w:r>
      <w:r>
        <w:rPr>
          <w:rFonts w:hint="eastAsia"/>
          <w:color w:val="auto"/>
        </w:rPr>
        <w:t>设施</w:t>
      </w:r>
      <w:bookmarkEnd w:id="12"/>
    </w:p>
    <w:p>
      <w:pPr>
        <w:spacing w:beforeLines="0" w:afterLines="0"/>
        <w:ind w:firstLine="480"/>
        <w:rPr>
          <w:rFonts w:eastAsia="仿宋_GB2312"/>
          <w:sz w:val="24"/>
        </w:rPr>
      </w:pPr>
      <w:r>
        <w:rPr>
          <w:rFonts w:eastAsia="仿宋_GB2312"/>
          <w:sz w:val="24"/>
        </w:rPr>
        <w:t>曙光金铜矿产生的废水主要有采矿矿</w:t>
      </w:r>
      <w:r>
        <w:rPr>
          <w:rFonts w:hint="eastAsia" w:eastAsia="仿宋_GB2312"/>
          <w:sz w:val="24"/>
        </w:rPr>
        <w:t>井</w:t>
      </w:r>
      <w:r>
        <w:rPr>
          <w:rFonts w:eastAsia="仿宋_GB2312"/>
          <w:sz w:val="24"/>
        </w:rPr>
        <w:t>涌水、选矿废水、车间冲洗水、</w:t>
      </w:r>
      <w:r>
        <w:rPr>
          <w:rFonts w:hint="eastAsia" w:eastAsia="仿宋_GB2312"/>
          <w:sz w:val="24"/>
        </w:rPr>
        <w:t>废石场淋溶水、</w:t>
      </w:r>
      <w:r>
        <w:rPr>
          <w:rFonts w:eastAsia="仿宋_GB2312"/>
          <w:sz w:val="24"/>
        </w:rPr>
        <w:t>生活污水</w:t>
      </w:r>
      <w:r>
        <w:rPr>
          <w:rFonts w:hint="eastAsia" w:eastAsia="仿宋_GB2312"/>
          <w:sz w:val="24"/>
        </w:rPr>
        <w:t>、化验室综合污水</w:t>
      </w:r>
      <w:r>
        <w:rPr>
          <w:rFonts w:eastAsia="仿宋_GB2312"/>
          <w:sz w:val="24"/>
        </w:rPr>
        <w:t>等。</w:t>
      </w:r>
    </w:p>
    <w:p>
      <w:pPr>
        <w:spacing w:beforeLines="0" w:afterLines="0"/>
        <w:ind w:firstLine="480"/>
        <w:rPr>
          <w:rFonts w:eastAsia="仿宋_GB2312"/>
          <w:sz w:val="24"/>
        </w:rPr>
      </w:pPr>
      <w:r>
        <w:rPr>
          <w:rFonts w:hint="eastAsia" w:eastAsia="仿宋_GB2312"/>
          <w:sz w:val="24"/>
        </w:rPr>
        <w:t>矿井涌水经地面沉淀池处理后部分用于露天采场降尘，部分用于选矿工艺的补充水。选矿废水经沉淀处理后全部返回生产工序循环利用。废石场淋溶水产生量较少，收集后自然蒸发或回用于选矿工艺。生活污水经多介质生物滤池（PBR）处理达到《污水综合排放标准》（GB8978-1996）中二级标准后用于矿区绿化、洒水降尘。化验室综合污水经新建的污水处理系统处理后，厂内利用，不外排。</w:t>
      </w:r>
    </w:p>
    <w:p>
      <w:pPr>
        <w:spacing w:beforeLines="0" w:afterLines="0"/>
        <w:ind w:firstLine="480"/>
        <w:rPr>
          <w:rFonts w:eastAsia="仿宋_GB2312"/>
          <w:sz w:val="24"/>
        </w:rPr>
      </w:pPr>
      <w:r>
        <w:rPr>
          <w:rFonts w:hint="eastAsia" w:eastAsia="仿宋_GB2312"/>
          <w:sz w:val="24"/>
        </w:rPr>
        <w:t>曙光金铜矿</w:t>
      </w:r>
      <w:r>
        <w:rPr>
          <w:rFonts w:eastAsia="仿宋_GB2312"/>
          <w:sz w:val="24"/>
        </w:rPr>
        <w:t>主要废水</w:t>
      </w:r>
      <w:r>
        <w:rPr>
          <w:rFonts w:hint="eastAsia" w:eastAsia="仿宋_GB2312"/>
          <w:sz w:val="24"/>
        </w:rPr>
        <w:t>污染</w:t>
      </w:r>
      <w:r>
        <w:rPr>
          <w:rFonts w:eastAsia="仿宋_GB2312"/>
          <w:sz w:val="24"/>
        </w:rPr>
        <w:t>防治设施</w:t>
      </w:r>
      <w:r>
        <w:rPr>
          <w:rFonts w:hint="eastAsia" w:eastAsia="仿宋_GB2312"/>
          <w:sz w:val="24"/>
        </w:rPr>
        <w:t>情况</w:t>
      </w:r>
      <w:r>
        <w:rPr>
          <w:rFonts w:eastAsia="仿宋_GB2312"/>
          <w:sz w:val="24"/>
        </w:rPr>
        <w:t>见表2-</w:t>
      </w:r>
      <w:r>
        <w:rPr>
          <w:rFonts w:hint="eastAsia" w:eastAsia="仿宋_GB2312"/>
          <w:sz w:val="24"/>
        </w:rPr>
        <w:t>2</w:t>
      </w:r>
      <w:r>
        <w:rPr>
          <w:rFonts w:eastAsia="仿宋_GB2312"/>
          <w:sz w:val="24"/>
        </w:rPr>
        <w:t>。</w:t>
      </w:r>
    </w:p>
    <w:p>
      <w:pPr>
        <w:pStyle w:val="10"/>
        <w:spacing w:beforeLines="0" w:line="240" w:lineRule="auto"/>
      </w:pPr>
      <w:r>
        <w:rPr>
          <w:rFonts w:hint="eastAsia"/>
        </w:rPr>
        <w:t>表2-2  废水污染防治设施一览表</w:t>
      </w:r>
    </w:p>
    <w:tbl>
      <w:tblPr>
        <w:tblStyle w:val="11"/>
        <w:tblW w:w="8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06"/>
        <w:gridCol w:w="885"/>
        <w:gridCol w:w="989"/>
        <w:gridCol w:w="994"/>
        <w:gridCol w:w="852"/>
        <w:gridCol w:w="820"/>
        <w:gridCol w:w="722"/>
        <w:gridCol w:w="722"/>
        <w:gridCol w:w="724"/>
        <w:gridCol w:w="12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jc w:val="center"/>
        </w:trPr>
        <w:tc>
          <w:tcPr>
            <w:tcW w:w="406" w:type="dxa"/>
            <w:vMerge w:val="restart"/>
            <w:vAlign w:val="center"/>
          </w:tcPr>
          <w:p>
            <w:pPr>
              <w:spacing w:beforeLines="0" w:afterLines="0" w:line="240" w:lineRule="auto"/>
              <w:ind w:firstLine="0" w:firstLineChars="0"/>
              <w:jc w:val="center"/>
              <w:rPr>
                <w:b/>
                <w:sz w:val="21"/>
              </w:rPr>
            </w:pPr>
            <w:r>
              <w:rPr>
                <w:rFonts w:hint="eastAsia"/>
                <w:b/>
                <w:sz w:val="21"/>
              </w:rPr>
              <w:t>序</w:t>
            </w:r>
          </w:p>
          <w:p>
            <w:pPr>
              <w:spacing w:beforeLines="0" w:afterLines="0" w:line="240" w:lineRule="auto"/>
              <w:ind w:firstLine="0" w:firstLineChars="0"/>
              <w:jc w:val="center"/>
              <w:rPr>
                <w:b/>
                <w:sz w:val="21"/>
              </w:rPr>
            </w:pPr>
            <w:r>
              <w:rPr>
                <w:rFonts w:hint="eastAsia"/>
                <w:b/>
                <w:sz w:val="21"/>
              </w:rPr>
              <w:t>号</w:t>
            </w:r>
          </w:p>
        </w:tc>
        <w:tc>
          <w:tcPr>
            <w:tcW w:w="885" w:type="dxa"/>
            <w:vMerge w:val="restart"/>
            <w:vAlign w:val="center"/>
          </w:tcPr>
          <w:p>
            <w:pPr>
              <w:spacing w:beforeLines="0" w:afterLines="0" w:line="240" w:lineRule="auto"/>
              <w:ind w:firstLine="0" w:firstLineChars="0"/>
              <w:jc w:val="center"/>
              <w:rPr>
                <w:b/>
                <w:sz w:val="21"/>
              </w:rPr>
            </w:pPr>
            <w:r>
              <w:rPr>
                <w:rFonts w:hint="eastAsia"/>
                <w:b/>
                <w:sz w:val="21"/>
              </w:rPr>
              <w:t>产生废水设施或工序</w:t>
            </w:r>
          </w:p>
        </w:tc>
        <w:tc>
          <w:tcPr>
            <w:tcW w:w="989" w:type="dxa"/>
            <w:vMerge w:val="restart"/>
            <w:vAlign w:val="center"/>
          </w:tcPr>
          <w:p>
            <w:pPr>
              <w:spacing w:beforeLines="0" w:afterLines="0" w:line="240" w:lineRule="auto"/>
              <w:ind w:firstLine="0" w:firstLineChars="0"/>
              <w:jc w:val="center"/>
              <w:rPr>
                <w:b/>
                <w:sz w:val="21"/>
              </w:rPr>
            </w:pPr>
            <w:r>
              <w:rPr>
                <w:rFonts w:hint="eastAsia"/>
                <w:b/>
                <w:sz w:val="21"/>
              </w:rPr>
              <w:t>治理设施名称</w:t>
            </w:r>
          </w:p>
        </w:tc>
        <w:tc>
          <w:tcPr>
            <w:tcW w:w="994" w:type="dxa"/>
            <w:vMerge w:val="restart"/>
            <w:vAlign w:val="center"/>
          </w:tcPr>
          <w:p>
            <w:pPr>
              <w:spacing w:beforeLines="0" w:afterLines="0" w:line="240" w:lineRule="auto"/>
              <w:ind w:firstLine="0" w:firstLineChars="0"/>
              <w:jc w:val="center"/>
              <w:rPr>
                <w:b/>
                <w:sz w:val="21"/>
              </w:rPr>
            </w:pPr>
            <w:r>
              <w:rPr>
                <w:rFonts w:hint="eastAsia"/>
                <w:b/>
                <w:sz w:val="21"/>
              </w:rPr>
              <w:t>主要污染物</w:t>
            </w:r>
          </w:p>
        </w:tc>
        <w:tc>
          <w:tcPr>
            <w:tcW w:w="3840" w:type="dxa"/>
            <w:gridSpan w:val="5"/>
            <w:vAlign w:val="center"/>
          </w:tcPr>
          <w:p>
            <w:pPr>
              <w:spacing w:beforeLines="0" w:afterLines="0" w:line="240" w:lineRule="auto"/>
              <w:ind w:firstLine="0" w:firstLineChars="0"/>
              <w:jc w:val="center"/>
              <w:rPr>
                <w:b/>
                <w:sz w:val="21"/>
              </w:rPr>
            </w:pPr>
            <w:r>
              <w:rPr>
                <w:rFonts w:hint="eastAsia"/>
                <w:b/>
                <w:sz w:val="21"/>
              </w:rPr>
              <w:t>废水污染防治设施</w:t>
            </w:r>
          </w:p>
        </w:tc>
        <w:tc>
          <w:tcPr>
            <w:tcW w:w="1222" w:type="dxa"/>
            <w:vMerge w:val="restart"/>
            <w:vAlign w:val="center"/>
          </w:tcPr>
          <w:p>
            <w:pPr>
              <w:spacing w:beforeLines="0" w:afterLines="0" w:line="240" w:lineRule="auto"/>
              <w:ind w:firstLine="0" w:firstLineChars="0"/>
              <w:jc w:val="center"/>
              <w:rPr>
                <w:b/>
                <w:sz w:val="21"/>
              </w:rPr>
            </w:pPr>
            <w:r>
              <w:rPr>
                <w:rFonts w:hint="eastAsia"/>
                <w:b/>
                <w:sz w:val="21"/>
              </w:rPr>
              <w:t>最终去向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jc w:val="center"/>
        </w:trPr>
        <w:tc>
          <w:tcPr>
            <w:tcW w:w="406" w:type="dxa"/>
            <w:vMerge w:val="continue"/>
            <w:vAlign w:val="center"/>
          </w:tcPr>
          <w:p>
            <w:pPr>
              <w:spacing w:beforeLines="0" w:afterLines="0" w:line="240" w:lineRule="auto"/>
              <w:ind w:firstLine="0" w:firstLineChars="0"/>
              <w:jc w:val="center"/>
              <w:rPr>
                <w:sz w:val="21"/>
              </w:rPr>
            </w:pPr>
          </w:p>
        </w:tc>
        <w:tc>
          <w:tcPr>
            <w:tcW w:w="885" w:type="dxa"/>
            <w:vMerge w:val="continue"/>
            <w:vAlign w:val="center"/>
          </w:tcPr>
          <w:p>
            <w:pPr>
              <w:spacing w:beforeLines="0" w:afterLines="0" w:line="240" w:lineRule="auto"/>
              <w:ind w:firstLine="0" w:firstLineChars="0"/>
              <w:jc w:val="center"/>
              <w:rPr>
                <w:sz w:val="21"/>
              </w:rPr>
            </w:pPr>
          </w:p>
        </w:tc>
        <w:tc>
          <w:tcPr>
            <w:tcW w:w="989" w:type="dxa"/>
            <w:vMerge w:val="continue"/>
            <w:vAlign w:val="center"/>
          </w:tcPr>
          <w:p>
            <w:pPr>
              <w:spacing w:beforeLines="0" w:afterLines="0" w:line="240" w:lineRule="auto"/>
              <w:ind w:firstLine="0" w:firstLineChars="0"/>
              <w:jc w:val="center"/>
              <w:rPr>
                <w:sz w:val="21"/>
              </w:rPr>
            </w:pPr>
          </w:p>
        </w:tc>
        <w:tc>
          <w:tcPr>
            <w:tcW w:w="994" w:type="dxa"/>
            <w:vMerge w:val="continue"/>
            <w:vAlign w:val="center"/>
          </w:tcPr>
          <w:p>
            <w:pPr>
              <w:spacing w:beforeLines="0" w:afterLines="0" w:line="240" w:lineRule="auto"/>
              <w:ind w:firstLine="0" w:firstLineChars="0"/>
              <w:jc w:val="center"/>
              <w:rPr>
                <w:sz w:val="21"/>
              </w:rPr>
            </w:pPr>
          </w:p>
        </w:tc>
        <w:tc>
          <w:tcPr>
            <w:tcW w:w="852" w:type="dxa"/>
            <w:vAlign w:val="center"/>
          </w:tcPr>
          <w:p>
            <w:pPr>
              <w:spacing w:beforeLines="0" w:afterLines="0" w:line="240" w:lineRule="auto"/>
              <w:ind w:firstLine="0" w:firstLineChars="0"/>
              <w:jc w:val="center"/>
              <w:rPr>
                <w:b/>
                <w:sz w:val="21"/>
              </w:rPr>
            </w:pPr>
            <w:r>
              <w:rPr>
                <w:rFonts w:hint="eastAsia"/>
                <w:b/>
                <w:sz w:val="21"/>
              </w:rPr>
              <w:t>处理</w:t>
            </w:r>
          </w:p>
          <w:p>
            <w:pPr>
              <w:spacing w:beforeLines="0" w:afterLines="0" w:line="240" w:lineRule="auto"/>
              <w:ind w:firstLine="0" w:firstLineChars="0"/>
              <w:jc w:val="center"/>
              <w:rPr>
                <w:b/>
                <w:sz w:val="21"/>
              </w:rPr>
            </w:pPr>
            <w:r>
              <w:rPr>
                <w:rFonts w:hint="eastAsia"/>
                <w:b/>
                <w:sz w:val="21"/>
              </w:rPr>
              <w:t>工艺</w:t>
            </w:r>
          </w:p>
        </w:tc>
        <w:tc>
          <w:tcPr>
            <w:tcW w:w="820" w:type="dxa"/>
            <w:vAlign w:val="center"/>
          </w:tcPr>
          <w:p>
            <w:pPr>
              <w:spacing w:beforeLines="0" w:afterLines="0" w:line="240" w:lineRule="auto"/>
              <w:ind w:firstLine="0" w:firstLineChars="0"/>
              <w:jc w:val="center"/>
              <w:rPr>
                <w:b/>
                <w:sz w:val="21"/>
              </w:rPr>
            </w:pPr>
            <w:r>
              <w:rPr>
                <w:rFonts w:hint="eastAsia"/>
                <w:b/>
                <w:sz w:val="21"/>
              </w:rPr>
              <w:t>处理</w:t>
            </w:r>
          </w:p>
          <w:p>
            <w:pPr>
              <w:spacing w:beforeLines="0" w:afterLines="0" w:line="240" w:lineRule="auto"/>
              <w:ind w:firstLine="0" w:firstLineChars="0"/>
              <w:jc w:val="center"/>
              <w:rPr>
                <w:b/>
                <w:sz w:val="21"/>
              </w:rPr>
            </w:pPr>
            <w:r>
              <w:rPr>
                <w:rFonts w:hint="eastAsia"/>
                <w:b/>
                <w:sz w:val="21"/>
              </w:rPr>
              <w:t>能力（m</w:t>
            </w:r>
            <w:r>
              <w:rPr>
                <w:rFonts w:hint="eastAsia"/>
                <w:b/>
                <w:sz w:val="21"/>
                <w:vertAlign w:val="superscript"/>
              </w:rPr>
              <w:t>3</w:t>
            </w:r>
            <w:r>
              <w:rPr>
                <w:rFonts w:hint="eastAsia"/>
                <w:b/>
                <w:sz w:val="21"/>
              </w:rPr>
              <w:t>/d）</w:t>
            </w:r>
          </w:p>
        </w:tc>
        <w:tc>
          <w:tcPr>
            <w:tcW w:w="722" w:type="dxa"/>
            <w:vAlign w:val="center"/>
          </w:tcPr>
          <w:p>
            <w:pPr>
              <w:spacing w:beforeLines="0" w:afterLines="0" w:line="240" w:lineRule="auto"/>
              <w:ind w:firstLine="0" w:firstLineChars="0"/>
              <w:jc w:val="center"/>
              <w:rPr>
                <w:b/>
                <w:sz w:val="21"/>
              </w:rPr>
            </w:pPr>
            <w:r>
              <w:rPr>
                <w:rFonts w:hint="eastAsia"/>
                <w:b/>
                <w:sz w:val="21"/>
              </w:rPr>
              <w:t>运行时间（h/a）</w:t>
            </w:r>
          </w:p>
        </w:tc>
        <w:tc>
          <w:tcPr>
            <w:tcW w:w="722" w:type="dxa"/>
            <w:vAlign w:val="center"/>
          </w:tcPr>
          <w:p>
            <w:pPr>
              <w:spacing w:beforeLines="0" w:afterLines="0" w:line="240" w:lineRule="auto"/>
              <w:ind w:firstLine="0" w:firstLineChars="0"/>
              <w:jc w:val="center"/>
              <w:rPr>
                <w:b/>
                <w:sz w:val="21"/>
              </w:rPr>
            </w:pPr>
            <w:r>
              <w:rPr>
                <w:rFonts w:hint="eastAsia"/>
                <w:b/>
                <w:sz w:val="21"/>
              </w:rPr>
              <w:t>主体工程运行时间（h）</w:t>
            </w:r>
          </w:p>
        </w:tc>
        <w:tc>
          <w:tcPr>
            <w:tcW w:w="724" w:type="dxa"/>
            <w:vAlign w:val="center"/>
          </w:tcPr>
          <w:p>
            <w:pPr>
              <w:spacing w:beforeLines="0" w:afterLines="0" w:line="240" w:lineRule="auto"/>
              <w:ind w:firstLine="0" w:firstLineChars="0"/>
              <w:jc w:val="center"/>
              <w:rPr>
                <w:b/>
                <w:sz w:val="21"/>
              </w:rPr>
            </w:pPr>
            <w:r>
              <w:rPr>
                <w:rFonts w:hint="eastAsia"/>
                <w:b/>
                <w:sz w:val="21"/>
              </w:rPr>
              <w:t>同步运转率（%）</w:t>
            </w:r>
          </w:p>
        </w:tc>
        <w:tc>
          <w:tcPr>
            <w:tcW w:w="1222" w:type="dxa"/>
            <w:vMerge w:val="continue"/>
            <w:vAlign w:val="center"/>
          </w:tcPr>
          <w:p>
            <w:pPr>
              <w:spacing w:beforeLines="0" w:afterLines="0"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4" w:hRule="atLeast"/>
          <w:jc w:val="center"/>
        </w:trPr>
        <w:tc>
          <w:tcPr>
            <w:tcW w:w="406" w:type="dxa"/>
            <w:vAlign w:val="center"/>
          </w:tcPr>
          <w:p>
            <w:pPr>
              <w:snapToGrid w:val="0"/>
              <w:spacing w:before="152" w:after="152" w:line="240" w:lineRule="auto"/>
              <w:ind w:firstLine="0" w:firstLineChars="0"/>
              <w:jc w:val="center"/>
              <w:rPr>
                <w:sz w:val="21"/>
              </w:rPr>
            </w:pPr>
            <w:r>
              <w:rPr>
                <w:rFonts w:hint="eastAsia"/>
                <w:sz w:val="21"/>
              </w:rPr>
              <w:t>1</w:t>
            </w:r>
          </w:p>
        </w:tc>
        <w:tc>
          <w:tcPr>
            <w:tcW w:w="885"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矿井涌水</w:t>
            </w:r>
          </w:p>
        </w:tc>
        <w:tc>
          <w:tcPr>
            <w:tcW w:w="989"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沉淀池</w:t>
            </w:r>
          </w:p>
        </w:tc>
        <w:tc>
          <w:tcPr>
            <w:tcW w:w="994"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SS</w:t>
            </w:r>
          </w:p>
        </w:tc>
        <w:tc>
          <w:tcPr>
            <w:tcW w:w="85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沉淀</w:t>
            </w:r>
          </w:p>
        </w:tc>
        <w:tc>
          <w:tcPr>
            <w:tcW w:w="820"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400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724" w:type="dxa"/>
            <w:vAlign w:val="center"/>
          </w:tcPr>
          <w:p>
            <w:pPr>
              <w:snapToGrid w:val="0"/>
              <w:spacing w:before="152" w:after="152" w:line="240" w:lineRule="auto"/>
              <w:ind w:firstLine="0" w:firstLineChars="0"/>
              <w:jc w:val="center"/>
              <w:rPr>
                <w:sz w:val="21"/>
              </w:rPr>
            </w:pPr>
            <w:r>
              <w:rPr>
                <w:rFonts w:hint="eastAsia"/>
                <w:sz w:val="21"/>
              </w:rPr>
              <w:t>100</w:t>
            </w:r>
          </w:p>
        </w:tc>
        <w:tc>
          <w:tcPr>
            <w:tcW w:w="12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水源补充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4" w:hRule="atLeast"/>
          <w:jc w:val="center"/>
        </w:trPr>
        <w:tc>
          <w:tcPr>
            <w:tcW w:w="406" w:type="dxa"/>
            <w:vAlign w:val="center"/>
          </w:tcPr>
          <w:p>
            <w:pPr>
              <w:snapToGrid w:val="0"/>
              <w:spacing w:before="152" w:after="152" w:line="240" w:lineRule="auto"/>
              <w:ind w:firstLine="0" w:firstLineChars="0"/>
              <w:jc w:val="center"/>
              <w:rPr>
                <w:sz w:val="21"/>
              </w:rPr>
            </w:pPr>
            <w:r>
              <w:rPr>
                <w:rFonts w:hint="eastAsia"/>
                <w:sz w:val="21"/>
              </w:rPr>
              <w:t>2</w:t>
            </w:r>
          </w:p>
        </w:tc>
        <w:tc>
          <w:tcPr>
            <w:tcW w:w="885"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选矿废水</w:t>
            </w:r>
          </w:p>
        </w:tc>
        <w:tc>
          <w:tcPr>
            <w:tcW w:w="989"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尾矿库</w:t>
            </w:r>
          </w:p>
        </w:tc>
        <w:tc>
          <w:tcPr>
            <w:tcW w:w="994"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SS、Cu、Fe、Pb、Zn、Ni</w:t>
            </w:r>
          </w:p>
        </w:tc>
        <w:tc>
          <w:tcPr>
            <w:tcW w:w="85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沉淀</w:t>
            </w:r>
          </w:p>
        </w:tc>
        <w:tc>
          <w:tcPr>
            <w:tcW w:w="820"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52500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7920</w:t>
            </w:r>
          </w:p>
        </w:tc>
        <w:tc>
          <w:tcPr>
            <w:tcW w:w="724" w:type="dxa"/>
            <w:vAlign w:val="center"/>
          </w:tcPr>
          <w:p>
            <w:pPr>
              <w:snapToGrid w:val="0"/>
              <w:spacing w:before="152" w:after="152" w:line="240" w:lineRule="auto"/>
              <w:ind w:firstLine="0" w:firstLineChars="0"/>
              <w:jc w:val="center"/>
              <w:rPr>
                <w:sz w:val="21"/>
              </w:rPr>
            </w:pPr>
            <w:r>
              <w:rPr>
                <w:rFonts w:hint="eastAsia"/>
                <w:sz w:val="21"/>
              </w:rPr>
              <w:t>100</w:t>
            </w:r>
          </w:p>
        </w:tc>
        <w:tc>
          <w:tcPr>
            <w:tcW w:w="12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工艺回用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4" w:hRule="atLeast"/>
          <w:jc w:val="center"/>
        </w:trPr>
        <w:tc>
          <w:tcPr>
            <w:tcW w:w="406" w:type="dxa"/>
            <w:vAlign w:val="center"/>
          </w:tcPr>
          <w:p>
            <w:pPr>
              <w:snapToGrid w:val="0"/>
              <w:spacing w:before="152" w:after="152" w:line="240" w:lineRule="auto"/>
              <w:ind w:firstLine="0" w:firstLineChars="0"/>
              <w:jc w:val="center"/>
              <w:rPr>
                <w:sz w:val="21"/>
              </w:rPr>
            </w:pPr>
            <w:r>
              <w:rPr>
                <w:rFonts w:hint="eastAsia"/>
                <w:sz w:val="21"/>
              </w:rPr>
              <w:t>3</w:t>
            </w:r>
          </w:p>
        </w:tc>
        <w:tc>
          <w:tcPr>
            <w:tcW w:w="885"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废</w:t>
            </w:r>
            <w:r>
              <w:rPr>
                <w:rFonts w:hint="eastAsia" w:ascii="Times New Roman" w:hAnsi="Times New Roman" w:eastAsiaTheme="minorEastAsia"/>
                <w:sz w:val="21"/>
                <w:szCs w:val="21"/>
              </w:rPr>
              <w:t>石</w:t>
            </w:r>
            <w:r>
              <w:rPr>
                <w:rFonts w:ascii="Times New Roman" w:hAnsi="Times New Roman" w:eastAsiaTheme="minorEastAsia"/>
                <w:sz w:val="21"/>
                <w:szCs w:val="21"/>
              </w:rPr>
              <w:t>场淋溶水</w:t>
            </w:r>
          </w:p>
        </w:tc>
        <w:tc>
          <w:tcPr>
            <w:tcW w:w="989"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收集池</w:t>
            </w:r>
          </w:p>
        </w:tc>
        <w:tc>
          <w:tcPr>
            <w:tcW w:w="994"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SS</w:t>
            </w:r>
          </w:p>
        </w:tc>
        <w:tc>
          <w:tcPr>
            <w:tcW w:w="85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沉淀</w:t>
            </w:r>
          </w:p>
        </w:tc>
        <w:tc>
          <w:tcPr>
            <w:tcW w:w="820"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4" w:type="dxa"/>
            <w:vAlign w:val="center"/>
          </w:tcPr>
          <w:p>
            <w:pPr>
              <w:snapToGrid w:val="0"/>
              <w:spacing w:before="152" w:after="152" w:line="240" w:lineRule="auto"/>
              <w:ind w:firstLine="0" w:firstLineChars="0"/>
              <w:jc w:val="center"/>
              <w:rPr>
                <w:sz w:val="21"/>
              </w:rPr>
            </w:pPr>
            <w:r>
              <w:rPr>
                <w:rFonts w:hint="eastAsia"/>
                <w:sz w:val="21"/>
              </w:rPr>
              <w:t>100</w:t>
            </w:r>
          </w:p>
        </w:tc>
        <w:tc>
          <w:tcPr>
            <w:tcW w:w="12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工艺回用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24" w:hRule="atLeast"/>
          <w:jc w:val="center"/>
        </w:trPr>
        <w:tc>
          <w:tcPr>
            <w:tcW w:w="406" w:type="dxa"/>
            <w:vAlign w:val="center"/>
          </w:tcPr>
          <w:p>
            <w:pPr>
              <w:snapToGrid w:val="0"/>
              <w:spacing w:before="152" w:after="152" w:line="240" w:lineRule="auto"/>
              <w:ind w:firstLine="0" w:firstLineChars="0"/>
              <w:jc w:val="center"/>
              <w:rPr>
                <w:sz w:val="21"/>
              </w:rPr>
            </w:pPr>
            <w:r>
              <w:rPr>
                <w:rFonts w:hint="eastAsia"/>
                <w:sz w:val="21"/>
              </w:rPr>
              <w:t>4</w:t>
            </w:r>
          </w:p>
        </w:tc>
        <w:tc>
          <w:tcPr>
            <w:tcW w:w="885"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生活污水</w:t>
            </w:r>
          </w:p>
        </w:tc>
        <w:tc>
          <w:tcPr>
            <w:tcW w:w="989"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多介质生物滤池</w:t>
            </w:r>
          </w:p>
        </w:tc>
        <w:tc>
          <w:tcPr>
            <w:tcW w:w="994"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r>
              <w:rPr>
                <w:rFonts w:ascii="Times New Roman" w:hAnsi="Times New Roman" w:eastAsiaTheme="minorEastAsia"/>
                <w:sz w:val="21"/>
                <w:szCs w:val="21"/>
              </w:rPr>
              <w:t>、COD、SS、氨氮、</w:t>
            </w:r>
            <w:r>
              <w:rPr>
                <w:rFonts w:hint="eastAsia" w:ascii="Times New Roman" w:hAnsi="Times New Roman" w:eastAsiaTheme="minorEastAsia"/>
                <w:sz w:val="21"/>
                <w:szCs w:val="21"/>
              </w:rPr>
              <w:t>总磷</w:t>
            </w:r>
          </w:p>
        </w:tc>
        <w:tc>
          <w:tcPr>
            <w:tcW w:w="85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生物接触氧化</w:t>
            </w:r>
          </w:p>
        </w:tc>
        <w:tc>
          <w:tcPr>
            <w:tcW w:w="820"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4" w:type="dxa"/>
            <w:vAlign w:val="center"/>
          </w:tcPr>
          <w:p>
            <w:pPr>
              <w:snapToGrid w:val="0"/>
              <w:spacing w:before="152" w:after="152" w:line="240" w:lineRule="auto"/>
              <w:ind w:firstLine="0" w:firstLineChars="0"/>
              <w:jc w:val="center"/>
              <w:rPr>
                <w:sz w:val="21"/>
              </w:rPr>
            </w:pPr>
            <w:r>
              <w:rPr>
                <w:rFonts w:hint="eastAsia"/>
                <w:sz w:val="21"/>
              </w:rPr>
              <w:t>100</w:t>
            </w:r>
          </w:p>
        </w:tc>
        <w:tc>
          <w:tcPr>
            <w:tcW w:w="12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洒水绿化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4" w:hRule="atLeast"/>
          <w:jc w:val="center"/>
        </w:trPr>
        <w:tc>
          <w:tcPr>
            <w:tcW w:w="406" w:type="dxa"/>
            <w:vAlign w:val="center"/>
          </w:tcPr>
          <w:p>
            <w:pPr>
              <w:snapToGrid w:val="0"/>
              <w:spacing w:before="152" w:after="152" w:line="240" w:lineRule="auto"/>
              <w:ind w:firstLine="0" w:firstLineChars="0"/>
              <w:jc w:val="center"/>
              <w:rPr>
                <w:sz w:val="21"/>
              </w:rPr>
            </w:pPr>
            <w:r>
              <w:rPr>
                <w:rFonts w:hint="eastAsia"/>
                <w:sz w:val="21"/>
              </w:rPr>
              <w:t>5</w:t>
            </w:r>
          </w:p>
        </w:tc>
        <w:tc>
          <w:tcPr>
            <w:tcW w:w="885"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化验室综合废水</w:t>
            </w:r>
          </w:p>
        </w:tc>
        <w:tc>
          <w:tcPr>
            <w:tcW w:w="989"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污水处理系统</w:t>
            </w:r>
          </w:p>
        </w:tc>
        <w:tc>
          <w:tcPr>
            <w:tcW w:w="994"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有机类、无机类、生物类</w:t>
            </w:r>
          </w:p>
        </w:tc>
        <w:tc>
          <w:tcPr>
            <w:tcW w:w="85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絮凝沉淀、氧化还原、电解、紫外光消毒、RO膜渗透等</w:t>
            </w:r>
          </w:p>
        </w:tc>
        <w:tc>
          <w:tcPr>
            <w:tcW w:w="820"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0.5</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8760</w:t>
            </w:r>
          </w:p>
        </w:tc>
        <w:tc>
          <w:tcPr>
            <w:tcW w:w="724" w:type="dxa"/>
            <w:vAlign w:val="center"/>
          </w:tcPr>
          <w:p>
            <w:pPr>
              <w:snapToGrid w:val="0"/>
              <w:spacing w:before="152" w:after="152" w:line="240" w:lineRule="auto"/>
              <w:ind w:firstLine="0" w:firstLineChars="0"/>
              <w:jc w:val="center"/>
              <w:rPr>
                <w:sz w:val="21"/>
              </w:rPr>
            </w:pPr>
            <w:r>
              <w:rPr>
                <w:rFonts w:hint="eastAsia"/>
                <w:sz w:val="21"/>
              </w:rPr>
              <w:t>100</w:t>
            </w:r>
          </w:p>
        </w:tc>
        <w:tc>
          <w:tcPr>
            <w:tcW w:w="1222" w:type="dxa"/>
            <w:vAlign w:val="center"/>
          </w:tcPr>
          <w:p>
            <w:pPr>
              <w:pStyle w:val="16"/>
              <w:snapToGrid w:val="0"/>
              <w:spacing w:before="152" w:after="152"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厂内利用</w:t>
            </w:r>
          </w:p>
        </w:tc>
      </w:tr>
    </w:tbl>
    <w:p>
      <w:pPr>
        <w:pStyle w:val="3"/>
        <w:rPr>
          <w:color w:val="auto"/>
        </w:rPr>
      </w:pPr>
      <w:bookmarkStart w:id="13" w:name="_Toc66281437"/>
      <w:r>
        <w:rPr>
          <w:color w:val="auto"/>
        </w:rPr>
        <w:t>2.3</w:t>
      </w:r>
      <w:r>
        <w:rPr>
          <w:rFonts w:hint="eastAsia"/>
          <w:color w:val="auto"/>
        </w:rPr>
        <w:t xml:space="preserve"> </w:t>
      </w:r>
      <w:r>
        <w:rPr>
          <w:color w:val="auto"/>
        </w:rPr>
        <w:t>固体废物污染</w:t>
      </w:r>
      <w:r>
        <w:rPr>
          <w:rFonts w:hint="eastAsia"/>
          <w:color w:val="auto"/>
        </w:rPr>
        <w:t>防治</w:t>
      </w:r>
      <w:r>
        <w:rPr>
          <w:color w:val="auto"/>
        </w:rPr>
        <w:t>措施</w:t>
      </w:r>
      <w:bookmarkEnd w:id="13"/>
    </w:p>
    <w:p>
      <w:pPr>
        <w:spacing w:beforeLines="0" w:afterLines="0"/>
        <w:ind w:firstLine="480"/>
        <w:rPr>
          <w:rFonts w:eastAsia="仿宋_GB2312"/>
          <w:sz w:val="24"/>
        </w:rPr>
      </w:pPr>
      <w:r>
        <w:rPr>
          <w:rFonts w:eastAsia="仿宋_GB2312"/>
          <w:sz w:val="24"/>
        </w:rPr>
        <w:t>曙光金铜矿在运营期产生的固体废物主要有尾矿砂、废石、锅炉炉渣和生活垃圾，采取如下处理措施：</w:t>
      </w:r>
    </w:p>
    <w:p>
      <w:pPr>
        <w:spacing w:beforeLines="0" w:afterLines="0"/>
        <w:ind w:firstLine="480"/>
        <w:rPr>
          <w:rFonts w:eastAsia="仿宋_GB2312"/>
          <w:sz w:val="24"/>
        </w:rPr>
      </w:pPr>
      <w:r>
        <w:rPr>
          <w:rFonts w:eastAsia="仿宋_GB2312"/>
          <w:sz w:val="24"/>
        </w:rPr>
        <w:t>（1）尾矿砂</w:t>
      </w:r>
    </w:p>
    <w:p>
      <w:pPr>
        <w:spacing w:beforeLines="0" w:afterLines="0"/>
        <w:ind w:firstLine="480"/>
        <w:rPr>
          <w:rFonts w:eastAsia="仿宋_GB2312"/>
          <w:sz w:val="24"/>
        </w:rPr>
      </w:pPr>
      <w:r>
        <w:rPr>
          <w:rFonts w:hint="eastAsia" w:eastAsia="仿宋_GB2312"/>
          <w:sz w:val="24"/>
        </w:rPr>
        <w:t>曙光金铜矿2020年排出浮选尾矿量为985.207万吨，用泵送至新建尾矿库中堆存。</w:t>
      </w:r>
      <w:r>
        <w:rPr>
          <w:rFonts w:eastAsia="仿宋_GB2312"/>
          <w:sz w:val="24"/>
        </w:rPr>
        <w:t>曙光金铜矿尾矿砂为第</w:t>
      </w:r>
      <w:r>
        <w:rPr>
          <w:rFonts w:hint="eastAsia" w:eastAsia="仿宋_GB2312"/>
          <w:sz w:val="24"/>
        </w:rPr>
        <w:t>I</w:t>
      </w:r>
      <w:r>
        <w:rPr>
          <w:rFonts w:eastAsia="仿宋_GB2312"/>
          <w:sz w:val="24"/>
        </w:rPr>
        <w:t>类一般工业固体废物，不属于危险废物，尾矿库为</w:t>
      </w:r>
      <w:r>
        <w:rPr>
          <w:rFonts w:hint="eastAsia" w:eastAsia="仿宋_GB2312"/>
          <w:sz w:val="24"/>
        </w:rPr>
        <w:t>I</w:t>
      </w:r>
      <w:r>
        <w:rPr>
          <w:rFonts w:eastAsia="仿宋_GB2312"/>
          <w:sz w:val="24"/>
        </w:rPr>
        <w:t>类</w:t>
      </w:r>
      <w:r>
        <w:rPr>
          <w:rFonts w:hint="eastAsia" w:eastAsia="仿宋_GB2312"/>
          <w:sz w:val="24"/>
        </w:rPr>
        <w:t>场</w:t>
      </w:r>
      <w:r>
        <w:rPr>
          <w:rFonts w:eastAsia="仿宋_GB2312"/>
          <w:sz w:val="24"/>
        </w:rPr>
        <w:t>。尾矿库设置了防洪</w:t>
      </w:r>
      <w:r>
        <w:rPr>
          <w:rFonts w:hint="eastAsia" w:eastAsia="仿宋_GB2312"/>
          <w:sz w:val="24"/>
        </w:rPr>
        <w:t>设施</w:t>
      </w:r>
      <w:r>
        <w:rPr>
          <w:rFonts w:eastAsia="仿宋_GB2312"/>
          <w:sz w:val="24"/>
        </w:rPr>
        <w:t>，待尾矿库服务期满后覆土，恢复生态环境。</w:t>
      </w:r>
    </w:p>
    <w:p>
      <w:pPr>
        <w:spacing w:beforeLines="0" w:afterLines="0"/>
        <w:ind w:firstLine="480"/>
        <w:rPr>
          <w:rFonts w:eastAsia="仿宋_GB2312"/>
          <w:sz w:val="24"/>
        </w:rPr>
      </w:pPr>
      <w:r>
        <w:rPr>
          <w:rFonts w:eastAsia="仿宋_GB2312"/>
          <w:sz w:val="24"/>
        </w:rPr>
        <w:t>（2）废石</w:t>
      </w:r>
    </w:p>
    <w:p>
      <w:pPr>
        <w:spacing w:beforeLines="0" w:afterLines="0"/>
        <w:ind w:firstLine="480"/>
        <w:rPr>
          <w:rFonts w:eastAsia="仿宋_GB2312"/>
          <w:sz w:val="24"/>
        </w:rPr>
      </w:pPr>
      <w:r>
        <w:rPr>
          <w:rFonts w:hint="eastAsia" w:eastAsia="仿宋_GB2312"/>
          <w:sz w:val="24"/>
        </w:rPr>
        <w:t>曙光金铜矿的废石为当量Cu品位</w:t>
      </w:r>
      <w:r>
        <w:rPr>
          <w:rFonts w:eastAsia="仿宋_GB2312"/>
          <w:sz w:val="24"/>
        </w:rPr>
        <w:t>&lt;</w:t>
      </w:r>
      <w:r>
        <w:rPr>
          <w:rFonts w:hint="eastAsia" w:eastAsia="仿宋_GB2312"/>
          <w:sz w:val="24"/>
        </w:rPr>
        <w:t>0.225%的废石量，2020年产生的废石量为1286.188万t，堆存于2#排土场和1#排土场。</w:t>
      </w:r>
    </w:p>
    <w:p>
      <w:pPr>
        <w:spacing w:beforeLines="0" w:afterLines="0"/>
        <w:ind w:firstLine="480"/>
        <w:rPr>
          <w:rFonts w:eastAsia="仿宋_GB2312"/>
          <w:sz w:val="24"/>
        </w:rPr>
      </w:pPr>
      <w:r>
        <w:rPr>
          <w:rFonts w:eastAsia="仿宋_GB2312"/>
          <w:sz w:val="24"/>
        </w:rPr>
        <w:t>曙光金铜矿废石属于第</w:t>
      </w:r>
      <w:r>
        <w:rPr>
          <w:rFonts w:hint="eastAsia" w:eastAsia="仿宋_GB2312"/>
          <w:sz w:val="24"/>
        </w:rPr>
        <w:t>I</w:t>
      </w:r>
      <w:r>
        <w:rPr>
          <w:rFonts w:eastAsia="仿宋_GB2312"/>
          <w:sz w:val="24"/>
        </w:rPr>
        <w:t>类一般工业固体废物，不</w:t>
      </w:r>
      <w:r>
        <w:rPr>
          <w:rFonts w:hint="eastAsia" w:eastAsia="仿宋_GB2312"/>
          <w:sz w:val="24"/>
        </w:rPr>
        <w:t>属于</w:t>
      </w:r>
      <w:r>
        <w:rPr>
          <w:rFonts w:eastAsia="仿宋_GB2312"/>
          <w:sz w:val="24"/>
        </w:rPr>
        <w:t>危险废</w:t>
      </w:r>
      <w:r>
        <w:rPr>
          <w:rFonts w:hint="eastAsia" w:eastAsia="仿宋_GB2312"/>
          <w:sz w:val="24"/>
        </w:rPr>
        <w:t>物</w:t>
      </w:r>
      <w:r>
        <w:rPr>
          <w:rFonts w:eastAsia="仿宋_GB2312"/>
          <w:sz w:val="24"/>
        </w:rPr>
        <w:t>，排土场为</w:t>
      </w:r>
      <w:r>
        <w:rPr>
          <w:rFonts w:hint="eastAsia" w:eastAsia="仿宋_GB2312"/>
          <w:sz w:val="24"/>
        </w:rPr>
        <w:t>I</w:t>
      </w:r>
      <w:r>
        <w:rPr>
          <w:rFonts w:eastAsia="仿宋_GB2312"/>
          <w:sz w:val="24"/>
        </w:rPr>
        <w:t>类</w:t>
      </w:r>
      <w:r>
        <w:rPr>
          <w:rFonts w:hint="eastAsia" w:eastAsia="仿宋_GB2312"/>
          <w:sz w:val="24"/>
        </w:rPr>
        <w:t>固体废物堆</w:t>
      </w:r>
      <w:r>
        <w:rPr>
          <w:rFonts w:eastAsia="仿宋_GB2312"/>
          <w:sz w:val="24"/>
        </w:rPr>
        <w:t>场。</w:t>
      </w:r>
    </w:p>
    <w:p>
      <w:pPr>
        <w:spacing w:beforeLines="0" w:afterLines="0"/>
        <w:ind w:firstLine="480"/>
        <w:rPr>
          <w:rFonts w:eastAsia="仿宋_GB2312"/>
          <w:sz w:val="24"/>
        </w:rPr>
      </w:pPr>
      <w:r>
        <w:rPr>
          <w:rFonts w:eastAsia="仿宋_GB2312"/>
          <w:sz w:val="24"/>
        </w:rPr>
        <w:t>（</w:t>
      </w:r>
      <w:r>
        <w:rPr>
          <w:rFonts w:hint="eastAsia" w:eastAsia="仿宋_GB2312"/>
          <w:sz w:val="24"/>
        </w:rPr>
        <w:t>3</w:t>
      </w:r>
      <w:r>
        <w:rPr>
          <w:rFonts w:eastAsia="仿宋_GB2312"/>
          <w:sz w:val="24"/>
        </w:rPr>
        <w:t>）</w:t>
      </w:r>
      <w:r>
        <w:rPr>
          <w:rFonts w:hint="eastAsia" w:eastAsia="仿宋_GB2312"/>
          <w:sz w:val="24"/>
        </w:rPr>
        <w:t>废机油和废油桶</w:t>
      </w:r>
    </w:p>
    <w:p>
      <w:pPr>
        <w:spacing w:beforeLines="0" w:afterLines="0"/>
        <w:ind w:firstLine="480"/>
        <w:rPr>
          <w:rFonts w:eastAsia="仿宋_GB2312"/>
          <w:sz w:val="24"/>
        </w:rPr>
      </w:pPr>
      <w:r>
        <w:rPr>
          <w:rFonts w:hint="eastAsia" w:eastAsia="仿宋_GB2312"/>
          <w:sz w:val="24"/>
        </w:rPr>
        <w:t>废机油和废油桶由厂内集中收集，设有危险废物暂存间，最终废机油委托吉林市昆仑四通石油化工有限公司处置，废油桶委托长春一汽四环鸿祥实业有限公司处置。</w:t>
      </w:r>
    </w:p>
    <w:p>
      <w:pPr>
        <w:spacing w:beforeLines="0" w:afterLines="0"/>
        <w:ind w:firstLine="480"/>
        <w:rPr>
          <w:rFonts w:eastAsia="仿宋_GB2312"/>
          <w:sz w:val="24"/>
        </w:rPr>
      </w:pPr>
      <w:r>
        <w:rPr>
          <w:rFonts w:hint="eastAsia" w:eastAsia="仿宋_GB2312"/>
          <w:sz w:val="24"/>
        </w:rPr>
        <w:t>（5）</w:t>
      </w:r>
      <w:r>
        <w:rPr>
          <w:rFonts w:eastAsia="仿宋_GB2312"/>
          <w:sz w:val="24"/>
        </w:rPr>
        <w:t>生活垃圾</w:t>
      </w:r>
    </w:p>
    <w:p>
      <w:pPr>
        <w:spacing w:beforeLines="0" w:afterLines="0"/>
        <w:ind w:firstLine="480"/>
      </w:pPr>
      <w:r>
        <w:rPr>
          <w:rFonts w:eastAsia="仿宋_GB2312"/>
          <w:sz w:val="24"/>
        </w:rPr>
        <w:t>曙光金铜矿职工生活垃圾产生量约</w:t>
      </w:r>
      <w:r>
        <w:rPr>
          <w:rFonts w:hint="eastAsia" w:eastAsia="仿宋_GB2312"/>
          <w:sz w:val="24"/>
        </w:rPr>
        <w:t>19.7</w:t>
      </w:r>
      <w:r>
        <w:rPr>
          <w:rFonts w:eastAsia="仿宋_GB2312"/>
          <w:sz w:val="24"/>
        </w:rPr>
        <w:t>t/a，集中收集后</w:t>
      </w:r>
      <w:r>
        <w:rPr>
          <w:rFonts w:hint="eastAsia" w:eastAsia="仿宋_GB2312"/>
          <w:sz w:val="24"/>
        </w:rPr>
        <w:t>送至珲春市垃圾处理场处理</w:t>
      </w:r>
      <w:r>
        <w:rPr>
          <w:rFonts w:eastAsia="仿宋_GB2312"/>
          <w:sz w:val="24"/>
        </w:rPr>
        <w:t>。</w:t>
      </w:r>
    </w:p>
    <w:p>
      <w:pPr>
        <w:spacing w:before="152" w:after="152"/>
        <w:ind w:firstLine="560"/>
      </w:pPr>
    </w:p>
    <w:p>
      <w:pPr>
        <w:spacing w:before="114" w:beforeLines="30" w:after="114" w:afterLines="30"/>
        <w:ind w:firstLine="0" w:firstLineChars="0"/>
        <w:rPr>
          <w:sz w:val="24"/>
        </w:rPr>
        <w:sectPr>
          <w:pgSz w:w="11906" w:h="16838"/>
          <w:pgMar w:top="1440" w:right="1800" w:bottom="1440" w:left="1800" w:header="851" w:footer="992" w:gutter="0"/>
          <w:cols w:space="720" w:num="1"/>
          <w:docGrid w:type="lines" w:linePitch="381" w:charSpace="0"/>
        </w:sectPr>
      </w:pPr>
    </w:p>
    <w:p>
      <w:pPr>
        <w:pStyle w:val="2"/>
        <w:spacing w:beforeLines="0" w:afterLines="0" w:line="240" w:lineRule="auto"/>
        <w:rPr>
          <w:b w:val="0"/>
          <w:sz w:val="30"/>
          <w:szCs w:val="30"/>
        </w:rPr>
      </w:pPr>
      <w:bookmarkStart w:id="14" w:name="_Toc66281438"/>
      <w:r>
        <w:rPr>
          <w:rFonts w:hint="eastAsia"/>
          <w:b w:val="0"/>
          <w:sz w:val="30"/>
          <w:szCs w:val="30"/>
        </w:rPr>
        <w:t>3 污染物排放情况</w:t>
      </w:r>
      <w:bookmarkEnd w:id="8"/>
      <w:bookmarkEnd w:id="9"/>
      <w:bookmarkEnd w:id="14"/>
    </w:p>
    <w:p>
      <w:pPr>
        <w:pStyle w:val="3"/>
        <w:spacing w:before="124" w:after="124"/>
        <w:rPr>
          <w:color w:val="auto"/>
        </w:rPr>
      </w:pPr>
      <w:bookmarkStart w:id="15" w:name="_Toc441676825"/>
      <w:bookmarkStart w:id="16" w:name="_Toc435621443"/>
      <w:bookmarkStart w:id="17" w:name="_Toc66281439"/>
      <w:r>
        <w:rPr>
          <w:color w:val="auto"/>
        </w:rPr>
        <w:t>3.1污染物达标排放情况</w:t>
      </w:r>
      <w:bookmarkEnd w:id="15"/>
      <w:bookmarkEnd w:id="16"/>
      <w:bookmarkEnd w:id="17"/>
    </w:p>
    <w:p>
      <w:pPr>
        <w:pStyle w:val="4"/>
      </w:pPr>
      <w:bookmarkStart w:id="18" w:name="_Toc441676827"/>
      <w:bookmarkStart w:id="19" w:name="_Toc471678441"/>
      <w:bookmarkStart w:id="20" w:name="_Toc435621445"/>
      <w:r>
        <w:rPr>
          <w:rFonts w:hint="eastAsia"/>
        </w:rPr>
        <w:t>3.1.1 废气污染物达标排放情况</w:t>
      </w:r>
      <w:bookmarkEnd w:id="18"/>
      <w:bookmarkEnd w:id="19"/>
      <w:bookmarkEnd w:id="20"/>
    </w:p>
    <w:p>
      <w:pPr>
        <w:spacing w:before="93" w:beforeLines="30" w:after="93" w:afterLines="30"/>
        <w:ind w:firstLine="480"/>
        <w:rPr>
          <w:rFonts w:eastAsia="仿宋_GB2312"/>
          <w:sz w:val="24"/>
          <w:szCs w:val="24"/>
        </w:rPr>
      </w:pPr>
      <w:r>
        <w:rPr>
          <w:rFonts w:hint="eastAsia" w:eastAsia="仿宋_GB2312"/>
          <w:sz w:val="24"/>
        </w:rPr>
        <w:t>曙光金铜矿产生废气分为：有组织排放废气和无组织排放废气。其中，有组织排放</w:t>
      </w:r>
      <w:r>
        <w:rPr>
          <w:rFonts w:eastAsia="仿宋_GB2312"/>
          <w:sz w:val="24"/>
        </w:rPr>
        <w:t>主要</w:t>
      </w:r>
      <w:r>
        <w:rPr>
          <w:rFonts w:hint="eastAsia" w:eastAsia="仿宋_GB2312"/>
          <w:sz w:val="24"/>
        </w:rPr>
        <w:t>包括选矿</w:t>
      </w:r>
      <w:r>
        <w:rPr>
          <w:rFonts w:eastAsia="仿宋_GB2312"/>
          <w:sz w:val="24"/>
        </w:rPr>
        <w:t>生产工艺粉尘（粗碎、中细碎、筛分）和锅炉烟气；无组织排放源包括采矿厂采矿粉尘（爆破、车辆运输）、排土场和尾矿库扬尘。曙光金铜矿现有锅炉房安装2台7MW热水锅炉（锅炉型号：SZW7-1.0/115/80-AII），</w:t>
      </w:r>
      <w:r>
        <w:rPr>
          <w:rFonts w:hint="eastAsia" w:eastAsia="仿宋_GB2312"/>
          <w:sz w:val="24"/>
        </w:rPr>
        <w:t>每年1-4月，10-12月共运行七个月。锅炉烟气排放执行</w:t>
      </w:r>
      <w:bookmarkStart w:id="21" w:name="_Toc380682299"/>
      <w:r>
        <w:rPr>
          <w:rFonts w:eastAsia="仿宋_GB2312"/>
          <w:sz w:val="24"/>
        </w:rPr>
        <w:t>《</w:t>
      </w:r>
      <w:r>
        <w:rPr>
          <w:rFonts w:hint="eastAsia" w:eastAsia="仿宋_GB2312"/>
          <w:sz w:val="24"/>
        </w:rPr>
        <w:t>锅炉</w:t>
      </w:r>
      <w:r>
        <w:rPr>
          <w:rFonts w:eastAsia="仿宋_GB2312"/>
          <w:sz w:val="24"/>
        </w:rPr>
        <w:t>大气污染物排放标准》</w:t>
      </w:r>
      <w:r>
        <w:rPr>
          <w:rFonts w:hint="eastAsia" w:eastAsia="仿宋_GB2312"/>
          <w:sz w:val="24"/>
        </w:rPr>
        <w:t>（GB13271-20</w:t>
      </w:r>
      <w:bookmarkEnd w:id="21"/>
      <w:r>
        <w:rPr>
          <w:rFonts w:hint="eastAsia" w:eastAsia="仿宋_GB2312"/>
          <w:sz w:val="24"/>
        </w:rPr>
        <w:t>14），中细碎、筛分车间粉尘排放执行《铜、镍、钴工业污染物排放标准》（GB25467-2010）。根据企业委托吉林省隆嘉环境监测有限公司监测并出具的2020年监测报告，曙光金铜矿各类废气未发生超标准排放情况。</w:t>
      </w:r>
      <w:r>
        <w:rPr>
          <w:rFonts w:hint="eastAsia" w:eastAsia="仿宋_GB2312"/>
          <w:sz w:val="24"/>
          <w:szCs w:val="24"/>
        </w:rPr>
        <w:t>废气污染物排放情况见表3-1。</w:t>
      </w:r>
    </w:p>
    <w:p>
      <w:pPr>
        <w:pStyle w:val="10"/>
        <w:spacing w:beforeLines="0" w:line="240" w:lineRule="auto"/>
      </w:pPr>
      <w:bookmarkStart w:id="22" w:name="_Toc471678442"/>
      <w:bookmarkStart w:id="23" w:name="_Toc441676828"/>
      <w:bookmarkStart w:id="24" w:name="_Toc435621446"/>
      <w:r>
        <w:rPr>
          <w:rFonts w:hint="eastAsia"/>
        </w:rPr>
        <w:t>表3-1  废气污染物排放情况</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983"/>
        <w:gridCol w:w="1444"/>
        <w:gridCol w:w="1283"/>
        <w:gridCol w:w="808"/>
        <w:gridCol w:w="793"/>
        <w:gridCol w:w="968"/>
        <w:gridCol w:w="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812" w:type="pct"/>
            <w:vMerge w:val="restart"/>
            <w:shd w:val="clear" w:color="auto" w:fill="auto"/>
            <w:vAlign w:val="center"/>
          </w:tcPr>
          <w:p>
            <w:pPr>
              <w:spacing w:beforeLines="0" w:afterLines="0" w:line="240" w:lineRule="auto"/>
              <w:ind w:firstLine="0" w:firstLineChars="0"/>
              <w:jc w:val="center"/>
              <w:rPr>
                <w:b/>
                <w:sz w:val="21"/>
              </w:rPr>
            </w:pPr>
            <w:r>
              <w:rPr>
                <w:rFonts w:hint="eastAsia"/>
                <w:b/>
                <w:sz w:val="21"/>
              </w:rPr>
              <w:t>污染源</w:t>
            </w:r>
          </w:p>
        </w:tc>
        <w:tc>
          <w:tcPr>
            <w:tcW w:w="2651" w:type="pct"/>
            <w:gridSpan w:val="4"/>
            <w:shd w:val="clear" w:color="auto" w:fill="auto"/>
            <w:vAlign w:val="center"/>
          </w:tcPr>
          <w:p>
            <w:pPr>
              <w:spacing w:beforeLines="0" w:afterLines="0" w:line="240" w:lineRule="auto"/>
              <w:ind w:firstLine="0" w:firstLineChars="0"/>
              <w:jc w:val="center"/>
              <w:rPr>
                <w:b/>
                <w:sz w:val="21"/>
              </w:rPr>
            </w:pPr>
            <w:r>
              <w:rPr>
                <w:rFonts w:hint="eastAsia"/>
                <w:b/>
                <w:sz w:val="21"/>
              </w:rPr>
              <w:t>污染物排放情况</w:t>
            </w:r>
          </w:p>
        </w:tc>
        <w:tc>
          <w:tcPr>
            <w:tcW w:w="1537" w:type="pct"/>
            <w:gridSpan w:val="3"/>
            <w:shd w:val="clear" w:color="auto" w:fill="auto"/>
            <w:vAlign w:val="center"/>
          </w:tcPr>
          <w:p>
            <w:pPr>
              <w:spacing w:beforeLines="0" w:afterLines="0" w:line="240" w:lineRule="auto"/>
              <w:ind w:firstLine="0" w:firstLineChars="0"/>
              <w:jc w:val="center"/>
              <w:rPr>
                <w:b/>
                <w:sz w:val="21"/>
              </w:rPr>
            </w:pPr>
            <w:r>
              <w:rPr>
                <w:rFonts w:hint="eastAsia"/>
                <w:b/>
                <w:sz w:val="21"/>
              </w:rPr>
              <w:t>排放口情况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812" w:type="pct"/>
            <w:vMerge w:val="continue"/>
            <w:vAlign w:val="center"/>
          </w:tcPr>
          <w:p>
            <w:pPr>
              <w:spacing w:beforeLines="0" w:afterLines="0" w:line="240" w:lineRule="auto"/>
              <w:ind w:firstLine="0" w:firstLineChars="0"/>
              <w:jc w:val="center"/>
              <w:rPr>
                <w:b/>
                <w:sz w:val="21"/>
              </w:rPr>
            </w:pPr>
          </w:p>
        </w:tc>
        <w:tc>
          <w:tcPr>
            <w:tcW w:w="577" w:type="pct"/>
            <w:shd w:val="clear" w:color="auto" w:fill="auto"/>
            <w:vAlign w:val="center"/>
          </w:tcPr>
          <w:p>
            <w:pPr>
              <w:spacing w:beforeLines="0" w:afterLines="0" w:line="240" w:lineRule="auto"/>
              <w:ind w:firstLine="0" w:firstLineChars="0"/>
              <w:jc w:val="center"/>
              <w:rPr>
                <w:b/>
                <w:sz w:val="21"/>
              </w:rPr>
            </w:pPr>
            <w:r>
              <w:rPr>
                <w:rFonts w:hint="eastAsia"/>
                <w:b/>
                <w:sz w:val="21"/>
              </w:rPr>
              <w:t>污染物名称</w:t>
            </w:r>
          </w:p>
        </w:tc>
        <w:tc>
          <w:tcPr>
            <w:tcW w:w="847" w:type="pct"/>
            <w:shd w:val="clear" w:color="auto" w:fill="auto"/>
            <w:vAlign w:val="center"/>
          </w:tcPr>
          <w:p>
            <w:pPr>
              <w:spacing w:beforeLines="0" w:afterLines="0" w:line="240" w:lineRule="auto"/>
              <w:ind w:firstLine="0" w:firstLineChars="0"/>
              <w:jc w:val="center"/>
              <w:rPr>
                <w:b/>
                <w:sz w:val="21"/>
              </w:rPr>
            </w:pPr>
            <w:r>
              <w:rPr>
                <w:rFonts w:hint="eastAsia"/>
                <w:b/>
                <w:sz w:val="21"/>
              </w:rPr>
              <w:t>排放浓度(mg/m</w:t>
            </w:r>
            <w:r>
              <w:rPr>
                <w:rFonts w:hint="eastAsia"/>
                <w:b/>
                <w:sz w:val="21"/>
                <w:vertAlign w:val="superscript"/>
              </w:rPr>
              <w:t>3</w:t>
            </w:r>
            <w:r>
              <w:rPr>
                <w:rFonts w:hint="eastAsia"/>
                <w:b/>
                <w:sz w:val="21"/>
              </w:rPr>
              <w:t>)</w:t>
            </w:r>
          </w:p>
        </w:tc>
        <w:tc>
          <w:tcPr>
            <w:tcW w:w="753" w:type="pct"/>
            <w:shd w:val="clear" w:color="auto" w:fill="auto"/>
            <w:vAlign w:val="center"/>
          </w:tcPr>
          <w:p>
            <w:pPr>
              <w:spacing w:beforeLines="0" w:afterLines="0" w:line="240" w:lineRule="auto"/>
              <w:ind w:firstLine="0" w:firstLineChars="0"/>
              <w:jc w:val="center"/>
              <w:rPr>
                <w:b/>
                <w:sz w:val="21"/>
              </w:rPr>
            </w:pPr>
            <w:r>
              <w:rPr>
                <w:rFonts w:hint="eastAsia"/>
                <w:b/>
                <w:sz w:val="21"/>
              </w:rPr>
              <w:t>排放</w:t>
            </w:r>
          </w:p>
          <w:p>
            <w:pPr>
              <w:spacing w:beforeLines="0" w:afterLines="0" w:line="240" w:lineRule="auto"/>
              <w:ind w:firstLine="0" w:firstLineChars="0"/>
              <w:jc w:val="center"/>
              <w:rPr>
                <w:b/>
                <w:sz w:val="21"/>
              </w:rPr>
            </w:pPr>
            <w:r>
              <w:rPr>
                <w:rFonts w:hint="eastAsia"/>
                <w:b/>
                <w:sz w:val="21"/>
              </w:rPr>
              <w:t>标准（mg/m</w:t>
            </w:r>
            <w:r>
              <w:rPr>
                <w:rFonts w:hint="eastAsia"/>
                <w:b/>
                <w:sz w:val="21"/>
                <w:vertAlign w:val="superscript"/>
              </w:rPr>
              <w:t>3</w:t>
            </w:r>
            <w:r>
              <w:rPr>
                <w:rFonts w:hint="eastAsia"/>
                <w:b/>
                <w:sz w:val="21"/>
              </w:rPr>
              <w:t>)</w:t>
            </w:r>
          </w:p>
        </w:tc>
        <w:tc>
          <w:tcPr>
            <w:tcW w:w="474" w:type="pct"/>
            <w:shd w:val="clear" w:color="auto" w:fill="auto"/>
            <w:vAlign w:val="center"/>
          </w:tcPr>
          <w:p>
            <w:pPr>
              <w:spacing w:beforeLines="0" w:afterLines="0" w:line="240" w:lineRule="auto"/>
              <w:ind w:firstLine="0" w:firstLineChars="0"/>
              <w:jc w:val="center"/>
              <w:rPr>
                <w:b/>
                <w:sz w:val="21"/>
              </w:rPr>
            </w:pPr>
            <w:r>
              <w:rPr>
                <w:rFonts w:hint="eastAsia"/>
                <w:b/>
                <w:sz w:val="21"/>
              </w:rPr>
              <w:t>达标情况</w:t>
            </w:r>
          </w:p>
        </w:tc>
        <w:tc>
          <w:tcPr>
            <w:tcW w:w="465" w:type="pct"/>
            <w:shd w:val="clear" w:color="auto" w:fill="auto"/>
            <w:vAlign w:val="center"/>
          </w:tcPr>
          <w:p>
            <w:pPr>
              <w:spacing w:beforeLines="0" w:afterLines="0" w:line="240" w:lineRule="auto"/>
              <w:ind w:firstLine="0" w:firstLineChars="0"/>
              <w:jc w:val="center"/>
              <w:rPr>
                <w:b/>
                <w:sz w:val="21"/>
              </w:rPr>
            </w:pPr>
            <w:r>
              <w:rPr>
                <w:rFonts w:hint="eastAsia"/>
                <w:b/>
                <w:sz w:val="21"/>
              </w:rPr>
              <w:t>排放口数量(个)</w:t>
            </w:r>
          </w:p>
        </w:tc>
        <w:tc>
          <w:tcPr>
            <w:tcW w:w="568" w:type="pct"/>
            <w:shd w:val="clear" w:color="auto" w:fill="auto"/>
            <w:vAlign w:val="center"/>
          </w:tcPr>
          <w:p>
            <w:pPr>
              <w:spacing w:beforeLines="0" w:afterLines="0" w:line="240" w:lineRule="auto"/>
              <w:ind w:firstLine="0" w:firstLineChars="0"/>
              <w:jc w:val="center"/>
              <w:rPr>
                <w:b/>
                <w:sz w:val="21"/>
              </w:rPr>
            </w:pPr>
            <w:r>
              <w:rPr>
                <w:rFonts w:hint="eastAsia"/>
                <w:b/>
                <w:sz w:val="21"/>
              </w:rPr>
              <w:t>排放口位置</w:t>
            </w:r>
          </w:p>
        </w:tc>
        <w:tc>
          <w:tcPr>
            <w:tcW w:w="504" w:type="pct"/>
            <w:shd w:val="clear" w:color="auto" w:fill="auto"/>
            <w:vAlign w:val="center"/>
          </w:tcPr>
          <w:p>
            <w:pPr>
              <w:spacing w:beforeLines="0" w:afterLines="0" w:line="240" w:lineRule="auto"/>
              <w:ind w:firstLine="0" w:firstLineChars="0"/>
              <w:jc w:val="center"/>
              <w:rPr>
                <w:b/>
                <w:sz w:val="21"/>
              </w:rPr>
            </w:pPr>
            <w:r>
              <w:rPr>
                <w:rFonts w:hint="eastAsia"/>
                <w:b/>
                <w:sz w:val="21"/>
              </w:rPr>
              <w:t>排放筒高度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2" w:type="pct"/>
            <w:vMerge w:val="restart"/>
            <w:shd w:val="clear" w:color="auto" w:fill="auto"/>
            <w:vAlign w:val="center"/>
          </w:tcPr>
          <w:p>
            <w:pPr>
              <w:spacing w:beforeLines="0" w:afterLines="0" w:line="240" w:lineRule="auto"/>
              <w:ind w:firstLine="0" w:firstLineChars="0"/>
              <w:jc w:val="center"/>
              <w:rPr>
                <w:sz w:val="21"/>
              </w:rPr>
            </w:pPr>
            <w:r>
              <w:rPr>
                <w:rFonts w:hint="eastAsia"/>
                <w:sz w:val="21"/>
              </w:rPr>
              <w:t>锅炉</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烟尘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13~16</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80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vMerge w:val="restar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vMerge w:val="restart"/>
            <w:shd w:val="clear" w:color="auto" w:fill="auto"/>
            <w:vAlign w:val="center"/>
          </w:tcPr>
          <w:p>
            <w:pPr>
              <w:spacing w:beforeLines="0" w:afterLines="0" w:line="240" w:lineRule="auto"/>
              <w:ind w:firstLine="0" w:firstLineChars="0"/>
              <w:jc w:val="center"/>
              <w:rPr>
                <w:sz w:val="21"/>
              </w:rPr>
            </w:pPr>
            <w:r>
              <w:rPr>
                <w:rFonts w:hint="eastAsia"/>
                <w:sz w:val="21"/>
              </w:rPr>
              <w:t>锅炉房</w:t>
            </w:r>
          </w:p>
        </w:tc>
        <w:tc>
          <w:tcPr>
            <w:tcW w:w="504" w:type="pct"/>
            <w:vMerge w:val="restart"/>
            <w:shd w:val="clear" w:color="auto" w:fill="auto"/>
            <w:vAlign w:val="center"/>
          </w:tcPr>
          <w:p>
            <w:pPr>
              <w:spacing w:beforeLines="0" w:afterLines="0" w:line="240" w:lineRule="auto"/>
              <w:ind w:firstLine="0" w:firstLineChars="0"/>
              <w:jc w:val="center"/>
              <w:rPr>
                <w:sz w:val="21"/>
              </w:rPr>
            </w:pPr>
            <w:r>
              <w:rPr>
                <w:rFonts w:hint="eastAsia"/>
                <w:sz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2" w:type="pct"/>
            <w:vMerge w:val="continue"/>
            <w:shd w:val="clear" w:color="auto" w:fill="auto"/>
            <w:vAlign w:val="center"/>
          </w:tcPr>
          <w:p>
            <w:pPr>
              <w:spacing w:beforeLines="0" w:afterLines="0" w:line="240" w:lineRule="auto"/>
              <w:ind w:firstLine="0" w:firstLineChars="0"/>
              <w:jc w:val="center"/>
              <w:rPr>
                <w:sz w:val="21"/>
              </w:rPr>
            </w:pP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SO</w:t>
            </w:r>
            <w:r>
              <w:rPr>
                <w:rFonts w:hint="eastAsia"/>
                <w:sz w:val="21"/>
                <w:vertAlign w:val="subscript"/>
              </w:rPr>
              <w:t>2</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13~30</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400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vMerge w:val="continue"/>
            <w:shd w:val="clear" w:color="auto" w:fill="auto"/>
            <w:vAlign w:val="center"/>
          </w:tcPr>
          <w:p>
            <w:pPr>
              <w:spacing w:beforeLines="0" w:afterLines="0" w:line="240" w:lineRule="auto"/>
              <w:ind w:firstLine="0" w:firstLineChars="0"/>
              <w:jc w:val="center"/>
              <w:rPr>
                <w:sz w:val="21"/>
              </w:rPr>
            </w:pPr>
          </w:p>
        </w:tc>
        <w:tc>
          <w:tcPr>
            <w:tcW w:w="568" w:type="pct"/>
            <w:vMerge w:val="continue"/>
            <w:shd w:val="clear" w:color="auto" w:fill="auto"/>
            <w:vAlign w:val="center"/>
          </w:tcPr>
          <w:p>
            <w:pPr>
              <w:spacing w:beforeLines="0" w:afterLines="0" w:line="240" w:lineRule="auto"/>
              <w:ind w:firstLine="0" w:firstLineChars="0"/>
              <w:jc w:val="center"/>
              <w:rPr>
                <w:sz w:val="21"/>
              </w:rPr>
            </w:pPr>
          </w:p>
        </w:tc>
        <w:tc>
          <w:tcPr>
            <w:tcW w:w="504" w:type="pct"/>
            <w:vMerge w:val="continue"/>
            <w:shd w:val="clear" w:color="auto" w:fill="auto"/>
            <w:vAlign w:val="center"/>
          </w:tcPr>
          <w:p>
            <w:pPr>
              <w:spacing w:beforeLines="0" w:afterLines="0"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2" w:type="pct"/>
            <w:vMerge w:val="continue"/>
            <w:shd w:val="clear" w:color="auto" w:fill="auto"/>
            <w:vAlign w:val="center"/>
          </w:tcPr>
          <w:p>
            <w:pPr>
              <w:spacing w:beforeLines="0" w:afterLines="0" w:line="240" w:lineRule="auto"/>
              <w:ind w:firstLine="0" w:firstLineChars="0"/>
              <w:jc w:val="center"/>
              <w:rPr>
                <w:sz w:val="21"/>
              </w:rPr>
            </w:pP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NOx</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152~159</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400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vMerge w:val="continue"/>
            <w:shd w:val="clear" w:color="auto" w:fill="auto"/>
            <w:vAlign w:val="center"/>
          </w:tcPr>
          <w:p>
            <w:pPr>
              <w:spacing w:beforeLines="0" w:afterLines="0" w:line="240" w:lineRule="auto"/>
              <w:ind w:firstLine="0" w:firstLineChars="0"/>
              <w:jc w:val="center"/>
              <w:rPr>
                <w:sz w:val="21"/>
              </w:rPr>
            </w:pPr>
          </w:p>
        </w:tc>
        <w:tc>
          <w:tcPr>
            <w:tcW w:w="568" w:type="pct"/>
            <w:vMerge w:val="continue"/>
            <w:shd w:val="clear" w:color="auto" w:fill="auto"/>
            <w:vAlign w:val="center"/>
          </w:tcPr>
          <w:p>
            <w:pPr>
              <w:spacing w:beforeLines="0" w:afterLines="0" w:line="240" w:lineRule="auto"/>
              <w:ind w:firstLine="0" w:firstLineChars="0"/>
              <w:jc w:val="center"/>
              <w:rPr>
                <w:sz w:val="21"/>
              </w:rPr>
            </w:pPr>
          </w:p>
        </w:tc>
        <w:tc>
          <w:tcPr>
            <w:tcW w:w="504" w:type="pct"/>
            <w:vMerge w:val="continue"/>
            <w:shd w:val="clear" w:color="auto" w:fill="auto"/>
            <w:vAlign w:val="center"/>
          </w:tcPr>
          <w:p>
            <w:pPr>
              <w:spacing w:beforeLines="0" w:afterLines="0"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w:t>
            </w:r>
            <w:r>
              <w:rPr>
                <w:bCs/>
                <w:sz w:val="21"/>
              </w:rPr>
              <w:t>粗碎车间颚式破碎机</w:t>
            </w:r>
          </w:p>
        </w:tc>
        <w:tc>
          <w:tcPr>
            <w:tcW w:w="57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11~24</w:t>
            </w:r>
          </w:p>
        </w:tc>
        <w:tc>
          <w:tcPr>
            <w:tcW w:w="753"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10000t/d破碎</w:t>
            </w:r>
          </w:p>
        </w:tc>
        <w:tc>
          <w:tcPr>
            <w:tcW w:w="50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w:t>
            </w:r>
            <w:r>
              <w:rPr>
                <w:bCs/>
                <w:sz w:val="21"/>
              </w:rPr>
              <w:t>中细碎车间圆锥破碎机（中碎）</w:t>
            </w:r>
          </w:p>
        </w:tc>
        <w:tc>
          <w:tcPr>
            <w:tcW w:w="57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10~24</w:t>
            </w:r>
          </w:p>
        </w:tc>
        <w:tc>
          <w:tcPr>
            <w:tcW w:w="753"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10000t/d中细碎</w:t>
            </w:r>
          </w:p>
        </w:tc>
        <w:tc>
          <w:tcPr>
            <w:tcW w:w="50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10000t/d筛分车间振动筛1</w:t>
            </w:r>
          </w:p>
        </w:tc>
        <w:tc>
          <w:tcPr>
            <w:tcW w:w="57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12~26</w:t>
            </w:r>
          </w:p>
        </w:tc>
        <w:tc>
          <w:tcPr>
            <w:tcW w:w="753"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10000t/d筛分</w:t>
            </w:r>
          </w:p>
        </w:tc>
        <w:tc>
          <w:tcPr>
            <w:tcW w:w="50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10000t/d筛分车间振动筛2</w:t>
            </w:r>
          </w:p>
        </w:tc>
        <w:tc>
          <w:tcPr>
            <w:tcW w:w="57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9~27</w:t>
            </w:r>
          </w:p>
        </w:tc>
        <w:tc>
          <w:tcPr>
            <w:tcW w:w="753"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napToGrid w:val="0"/>
              <w:spacing w:beforeLines="0" w:afterLines="0" w:line="240" w:lineRule="auto"/>
              <w:ind w:firstLine="0" w:firstLineChars="0"/>
              <w:jc w:val="center"/>
              <w:rPr>
                <w:bCs/>
                <w:sz w:val="21"/>
              </w:rPr>
            </w:pPr>
            <w:r>
              <w:rPr>
                <w:rFonts w:hint="eastAsia"/>
                <w:bCs/>
                <w:sz w:val="21"/>
              </w:rPr>
              <w:t>10000t/d筛分</w:t>
            </w:r>
          </w:p>
        </w:tc>
        <w:tc>
          <w:tcPr>
            <w:tcW w:w="50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pacing w:beforeLines="0" w:afterLines="0" w:line="240" w:lineRule="auto"/>
              <w:ind w:firstLine="0" w:firstLineChars="0"/>
              <w:jc w:val="center"/>
              <w:rPr>
                <w:sz w:val="21"/>
              </w:rPr>
            </w:pPr>
            <w:r>
              <w:rPr>
                <w:rFonts w:hint="eastAsia"/>
                <w:bCs/>
                <w:sz w:val="21"/>
              </w:rPr>
              <w:t>4000t/d</w:t>
            </w:r>
            <w:r>
              <w:rPr>
                <w:bCs/>
                <w:sz w:val="21"/>
              </w:rPr>
              <w:t>粗碎车间颚式破碎机</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7~21</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pacing w:beforeLines="0" w:afterLines="0" w:line="240" w:lineRule="auto"/>
              <w:ind w:firstLine="0" w:firstLineChars="0"/>
              <w:jc w:val="center"/>
              <w:rPr>
                <w:sz w:val="21"/>
              </w:rPr>
            </w:pPr>
            <w:r>
              <w:rPr>
                <w:rFonts w:hint="eastAsia"/>
                <w:bCs/>
                <w:sz w:val="21"/>
              </w:rPr>
              <w:t>4000t/d</w:t>
            </w:r>
            <w:r>
              <w:rPr>
                <w:bCs/>
                <w:sz w:val="21"/>
              </w:rPr>
              <w:t>粗碎</w:t>
            </w:r>
          </w:p>
        </w:tc>
        <w:tc>
          <w:tcPr>
            <w:tcW w:w="504" w:type="pct"/>
            <w:shd w:val="clear" w:color="auto" w:fill="auto"/>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pacing w:beforeLines="0" w:afterLines="0" w:line="240" w:lineRule="auto"/>
              <w:ind w:firstLine="0" w:firstLineChars="0"/>
              <w:jc w:val="center"/>
              <w:rPr>
                <w:sz w:val="21"/>
              </w:rPr>
            </w:pPr>
            <w:r>
              <w:rPr>
                <w:rFonts w:hint="eastAsia"/>
                <w:bCs/>
                <w:sz w:val="21"/>
              </w:rPr>
              <w:t>4000t/d</w:t>
            </w:r>
            <w:r>
              <w:rPr>
                <w:bCs/>
                <w:sz w:val="21"/>
              </w:rPr>
              <w:t>中细碎车间圆锥破碎机（中碎）</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12~21</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pacing w:beforeLines="0" w:afterLines="0" w:line="240" w:lineRule="auto"/>
              <w:ind w:firstLine="0" w:firstLineChars="0"/>
              <w:jc w:val="center"/>
              <w:rPr>
                <w:sz w:val="21"/>
              </w:rPr>
            </w:pPr>
            <w:r>
              <w:rPr>
                <w:rFonts w:hint="eastAsia"/>
                <w:bCs/>
                <w:sz w:val="21"/>
              </w:rPr>
              <w:t>4000t/d中细</w:t>
            </w:r>
            <w:r>
              <w:rPr>
                <w:bCs/>
                <w:sz w:val="21"/>
              </w:rPr>
              <w:t>碎</w:t>
            </w:r>
          </w:p>
        </w:tc>
        <w:tc>
          <w:tcPr>
            <w:tcW w:w="504" w:type="pct"/>
            <w:shd w:val="clear" w:color="auto" w:fill="auto"/>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pacing w:beforeLines="0" w:afterLines="0" w:line="240" w:lineRule="auto"/>
              <w:ind w:firstLine="0" w:firstLineChars="0"/>
              <w:jc w:val="center"/>
              <w:rPr>
                <w:sz w:val="21"/>
              </w:rPr>
            </w:pPr>
            <w:r>
              <w:rPr>
                <w:rFonts w:hint="eastAsia"/>
                <w:bCs/>
                <w:sz w:val="21"/>
              </w:rPr>
              <w:t>4000t/d筛分车间振动筛</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5~26</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pacing w:beforeLines="0" w:afterLines="0" w:line="240" w:lineRule="auto"/>
              <w:ind w:firstLine="0" w:firstLineChars="0"/>
              <w:jc w:val="center"/>
              <w:rPr>
                <w:sz w:val="21"/>
              </w:rPr>
            </w:pPr>
            <w:r>
              <w:rPr>
                <w:rFonts w:hint="eastAsia"/>
                <w:bCs/>
                <w:sz w:val="21"/>
              </w:rPr>
              <w:t>4000t/d</w:t>
            </w:r>
            <w:r>
              <w:rPr>
                <w:bCs/>
                <w:sz w:val="21"/>
              </w:rPr>
              <w:t>筛分</w:t>
            </w:r>
          </w:p>
        </w:tc>
        <w:tc>
          <w:tcPr>
            <w:tcW w:w="504" w:type="pct"/>
            <w:shd w:val="clear" w:color="auto" w:fill="auto"/>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pacing w:beforeLines="0" w:afterLines="0" w:line="240" w:lineRule="auto"/>
              <w:ind w:firstLine="0" w:firstLineChars="0"/>
              <w:jc w:val="center"/>
              <w:rPr>
                <w:sz w:val="21"/>
              </w:rPr>
            </w:pPr>
            <w:r>
              <w:rPr>
                <w:rFonts w:hint="eastAsia"/>
                <w:bCs/>
                <w:sz w:val="21"/>
              </w:rPr>
              <w:t>9500t/d</w:t>
            </w:r>
            <w:r>
              <w:rPr>
                <w:bCs/>
                <w:sz w:val="21"/>
              </w:rPr>
              <w:t>粗碎车间颚式破碎机</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8~27</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pacing w:beforeLines="0" w:afterLines="0" w:line="240" w:lineRule="auto"/>
              <w:ind w:firstLine="0" w:firstLineChars="0"/>
              <w:jc w:val="center"/>
              <w:rPr>
                <w:sz w:val="21"/>
              </w:rPr>
            </w:pPr>
            <w:r>
              <w:rPr>
                <w:rFonts w:hint="eastAsia"/>
                <w:bCs/>
                <w:sz w:val="21"/>
              </w:rPr>
              <w:t>9500t/d</w:t>
            </w:r>
            <w:r>
              <w:rPr>
                <w:bCs/>
                <w:sz w:val="21"/>
              </w:rPr>
              <w:t>粗碎</w:t>
            </w:r>
          </w:p>
        </w:tc>
        <w:tc>
          <w:tcPr>
            <w:tcW w:w="504" w:type="pct"/>
            <w:shd w:val="clear" w:color="auto" w:fill="auto"/>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pacing w:beforeLines="0" w:afterLines="0" w:line="240" w:lineRule="auto"/>
              <w:ind w:firstLine="0" w:firstLineChars="0"/>
              <w:jc w:val="center"/>
              <w:rPr>
                <w:sz w:val="21"/>
              </w:rPr>
            </w:pPr>
            <w:r>
              <w:rPr>
                <w:rFonts w:hint="eastAsia"/>
                <w:bCs/>
                <w:sz w:val="21"/>
              </w:rPr>
              <w:t>9500t/d</w:t>
            </w:r>
            <w:r>
              <w:rPr>
                <w:bCs/>
                <w:sz w:val="21"/>
              </w:rPr>
              <w:t>中细碎车间圆锥破碎机（中碎）</w:t>
            </w:r>
          </w:p>
        </w:tc>
        <w:tc>
          <w:tcPr>
            <w:tcW w:w="577" w:type="pct"/>
            <w:shd w:val="clear" w:color="auto" w:fill="auto"/>
            <w:vAlign w:val="center"/>
          </w:tcPr>
          <w:p>
            <w:pPr>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pacing w:beforeLines="0" w:afterLines="0" w:line="240" w:lineRule="auto"/>
              <w:ind w:firstLine="0" w:firstLineChars="0"/>
              <w:jc w:val="center"/>
              <w:rPr>
                <w:sz w:val="21"/>
              </w:rPr>
            </w:pPr>
            <w:r>
              <w:rPr>
                <w:rFonts w:hint="eastAsia"/>
                <w:sz w:val="21"/>
              </w:rPr>
              <w:t>8~29</w:t>
            </w:r>
          </w:p>
        </w:tc>
        <w:tc>
          <w:tcPr>
            <w:tcW w:w="753" w:type="pct"/>
            <w:shd w:val="clear" w:color="auto" w:fill="auto"/>
            <w:vAlign w:val="center"/>
          </w:tcPr>
          <w:p>
            <w:pPr>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pacing w:beforeLines="0" w:afterLines="0" w:line="240" w:lineRule="auto"/>
              <w:ind w:firstLine="0" w:firstLineChars="0"/>
              <w:jc w:val="center"/>
              <w:rPr>
                <w:sz w:val="21"/>
              </w:rPr>
            </w:pPr>
            <w:r>
              <w:rPr>
                <w:rFonts w:hint="eastAsia"/>
                <w:bCs/>
                <w:sz w:val="21"/>
              </w:rPr>
              <w:t>9500t/d中细</w:t>
            </w:r>
            <w:r>
              <w:rPr>
                <w:bCs/>
                <w:sz w:val="21"/>
              </w:rPr>
              <w:t>碎</w:t>
            </w:r>
          </w:p>
        </w:tc>
        <w:tc>
          <w:tcPr>
            <w:tcW w:w="504" w:type="pct"/>
            <w:shd w:val="clear" w:color="auto" w:fill="auto"/>
            <w:vAlign w:val="center"/>
          </w:tcPr>
          <w:p>
            <w:pPr>
              <w:spacing w:beforeLines="0" w:afterLines="0" w:line="240" w:lineRule="auto"/>
              <w:ind w:firstLine="0" w:firstLineChars="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812" w:type="pct"/>
            <w:shd w:val="clear" w:color="auto" w:fill="auto"/>
            <w:vAlign w:val="center"/>
          </w:tcPr>
          <w:p>
            <w:pPr>
              <w:snapToGrid w:val="0"/>
              <w:spacing w:beforeLines="0" w:afterLines="0" w:line="240" w:lineRule="auto"/>
              <w:ind w:firstLine="0" w:firstLineChars="0"/>
              <w:jc w:val="center"/>
              <w:rPr>
                <w:sz w:val="21"/>
              </w:rPr>
            </w:pPr>
            <w:r>
              <w:rPr>
                <w:rFonts w:hint="eastAsia"/>
                <w:bCs/>
                <w:sz w:val="21"/>
              </w:rPr>
              <w:t>9500t/d筛分车间振动筛</w:t>
            </w:r>
          </w:p>
        </w:tc>
        <w:tc>
          <w:tcPr>
            <w:tcW w:w="57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粉尘</w:t>
            </w:r>
          </w:p>
        </w:tc>
        <w:tc>
          <w:tcPr>
            <w:tcW w:w="847"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14~22</w:t>
            </w:r>
          </w:p>
        </w:tc>
        <w:tc>
          <w:tcPr>
            <w:tcW w:w="753"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100</w:t>
            </w:r>
          </w:p>
        </w:tc>
        <w:tc>
          <w:tcPr>
            <w:tcW w:w="47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达标</w:t>
            </w:r>
          </w:p>
        </w:tc>
        <w:tc>
          <w:tcPr>
            <w:tcW w:w="465"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w:t>
            </w:r>
          </w:p>
        </w:tc>
        <w:tc>
          <w:tcPr>
            <w:tcW w:w="568" w:type="pct"/>
            <w:shd w:val="clear" w:color="auto" w:fill="auto"/>
            <w:vAlign w:val="center"/>
          </w:tcPr>
          <w:p>
            <w:pPr>
              <w:snapToGrid w:val="0"/>
              <w:spacing w:beforeLines="0" w:afterLines="0" w:line="240" w:lineRule="auto"/>
              <w:ind w:firstLine="0" w:firstLineChars="0"/>
              <w:jc w:val="center"/>
              <w:rPr>
                <w:sz w:val="21"/>
              </w:rPr>
            </w:pPr>
            <w:r>
              <w:rPr>
                <w:rFonts w:hint="eastAsia"/>
                <w:bCs/>
                <w:sz w:val="21"/>
              </w:rPr>
              <w:t>9500t/d</w:t>
            </w:r>
            <w:r>
              <w:rPr>
                <w:bCs/>
                <w:sz w:val="21"/>
              </w:rPr>
              <w:t>筛分</w:t>
            </w:r>
          </w:p>
        </w:tc>
        <w:tc>
          <w:tcPr>
            <w:tcW w:w="504" w:type="pct"/>
            <w:shd w:val="clear" w:color="auto" w:fill="auto"/>
            <w:vAlign w:val="center"/>
          </w:tcPr>
          <w:p>
            <w:pPr>
              <w:snapToGrid w:val="0"/>
              <w:spacing w:beforeLines="0" w:afterLines="0" w:line="240" w:lineRule="auto"/>
              <w:ind w:firstLine="0" w:firstLineChars="0"/>
              <w:jc w:val="center"/>
              <w:rPr>
                <w:sz w:val="21"/>
              </w:rPr>
            </w:pPr>
            <w:r>
              <w:rPr>
                <w:rFonts w:hint="eastAsia"/>
                <w:sz w:val="21"/>
              </w:rPr>
              <w:t>15</w:t>
            </w:r>
          </w:p>
        </w:tc>
      </w:tr>
    </w:tbl>
    <w:p>
      <w:pPr>
        <w:pStyle w:val="4"/>
      </w:pPr>
      <w:r>
        <w:rPr>
          <w:rFonts w:hint="eastAsia"/>
        </w:rPr>
        <w:t xml:space="preserve">3.1.2 </w:t>
      </w:r>
      <w:r>
        <w:t>废水污染物达标排放情况</w:t>
      </w:r>
    </w:p>
    <w:p>
      <w:pPr>
        <w:spacing w:before="93" w:beforeLines="30" w:after="93" w:afterLines="30"/>
        <w:ind w:firstLine="480"/>
        <w:rPr>
          <w:rFonts w:eastAsia="仿宋_GB2312"/>
          <w:sz w:val="24"/>
          <w:szCs w:val="24"/>
        </w:rPr>
      </w:pPr>
      <w:r>
        <w:rPr>
          <w:rFonts w:hint="eastAsia" w:eastAsia="仿宋_GB2312"/>
          <w:sz w:val="24"/>
        </w:rPr>
        <w:t>曙光金铜矿运营过程中产生的废水主要为生产废水和生活污水。生产废水主要为矿井涌水、选矿废水、车间冲洗水、废石场淋溶水等。井下涌水及循环水经沉淀池处理后回用于选矿生产；选矿废水、车间冲洗水经浓密机、尾矿库沉淀后返回选矿工艺回用；废石场淋溶水在废石场拦渣坝下设有收集池，收集后回用于选矿工艺；生活污水经二级生化处理后，夏季用于矿区绿化、冬季回用于选矿系统。</w:t>
      </w:r>
      <w:r>
        <w:rPr>
          <w:rFonts w:eastAsia="仿宋_GB2312"/>
          <w:sz w:val="24"/>
        </w:rPr>
        <w:t>整个矿区</w:t>
      </w:r>
      <w:r>
        <w:rPr>
          <w:rFonts w:hint="eastAsia" w:eastAsia="仿宋_GB2312"/>
          <w:sz w:val="24"/>
        </w:rPr>
        <w:t>产生的废水全部回用，</w:t>
      </w:r>
      <w:r>
        <w:rPr>
          <w:rFonts w:eastAsia="仿宋_GB2312"/>
          <w:sz w:val="24"/>
        </w:rPr>
        <w:t>不外排。</w:t>
      </w:r>
      <w:r>
        <w:rPr>
          <w:rFonts w:hint="eastAsia" w:eastAsia="仿宋_GB2312"/>
          <w:sz w:val="24"/>
          <w:szCs w:val="24"/>
        </w:rPr>
        <w:t>为了了解企业尾矿库水质情况，企2020年委托吉林省隆嘉环境检测有限公司对选矿废水回水池的水质进行了监测，监测结果见表3-2。</w:t>
      </w:r>
    </w:p>
    <w:p>
      <w:pPr>
        <w:pStyle w:val="10"/>
        <w:spacing w:beforeLines="0" w:after="124" w:line="240" w:lineRule="auto"/>
      </w:pPr>
      <w:r>
        <w:rPr>
          <w:rFonts w:hint="eastAsia"/>
        </w:rPr>
        <w:t>表3-2  废水排放情况</w:t>
      </w:r>
    </w:p>
    <w:tbl>
      <w:tblPr>
        <w:tblStyle w:val="11"/>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99"/>
        <w:gridCol w:w="1254"/>
        <w:gridCol w:w="3230"/>
        <w:gridCol w:w="1254"/>
        <w:gridCol w:w="1077"/>
        <w:gridCol w:w="12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293" w:type="pct"/>
            <w:vMerge w:val="restar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序号</w:t>
            </w:r>
          </w:p>
        </w:tc>
        <w:tc>
          <w:tcPr>
            <w:tcW w:w="2631" w:type="pct"/>
            <w:gridSpan w:val="2"/>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污染物排放情况</w:t>
            </w:r>
          </w:p>
        </w:tc>
        <w:tc>
          <w:tcPr>
            <w:tcW w:w="2076" w:type="pct"/>
            <w:gridSpan w:val="3"/>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排放口情况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293" w:type="pct"/>
            <w:vMerge w:val="continue"/>
            <w:vAlign w:val="center"/>
          </w:tcPr>
          <w:p>
            <w:pPr>
              <w:widowControl/>
              <w:spacing w:beforeLines="0" w:afterLines="0" w:line="240" w:lineRule="auto"/>
              <w:ind w:firstLine="0" w:firstLineChars="0"/>
              <w:jc w:val="center"/>
              <w:rPr>
                <w:b/>
                <w:kern w:val="0"/>
                <w:sz w:val="21"/>
                <w:szCs w:val="21"/>
              </w:rPr>
            </w:pPr>
          </w:p>
        </w:tc>
        <w:tc>
          <w:tcPr>
            <w:tcW w:w="736" w:type="pc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污染物名称</w:t>
            </w:r>
          </w:p>
        </w:tc>
        <w:tc>
          <w:tcPr>
            <w:tcW w:w="1895" w:type="pc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排放浓度</w:t>
            </w:r>
            <w:r>
              <w:rPr>
                <w:b/>
                <w:kern w:val="0"/>
                <w:sz w:val="21"/>
                <w:szCs w:val="21"/>
              </w:rPr>
              <w:t>(mg/L)</w:t>
            </w:r>
          </w:p>
        </w:tc>
        <w:tc>
          <w:tcPr>
            <w:tcW w:w="736" w:type="pc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排放口数量</w:t>
            </w:r>
            <w:r>
              <w:rPr>
                <w:b/>
                <w:kern w:val="0"/>
                <w:sz w:val="21"/>
                <w:szCs w:val="21"/>
              </w:rPr>
              <w:t>(</w:t>
            </w:r>
            <w:r>
              <w:rPr>
                <w:rFonts w:hAnsi="宋体"/>
                <w:b/>
                <w:kern w:val="0"/>
                <w:sz w:val="21"/>
                <w:szCs w:val="21"/>
              </w:rPr>
              <w:t>个</w:t>
            </w:r>
            <w:r>
              <w:rPr>
                <w:b/>
                <w:kern w:val="0"/>
                <w:sz w:val="21"/>
                <w:szCs w:val="21"/>
              </w:rPr>
              <w:t>)</w:t>
            </w:r>
          </w:p>
        </w:tc>
        <w:tc>
          <w:tcPr>
            <w:tcW w:w="632" w:type="pc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排放口位置</w:t>
            </w:r>
          </w:p>
        </w:tc>
        <w:tc>
          <w:tcPr>
            <w:tcW w:w="708" w:type="pct"/>
            <w:vAlign w:val="center"/>
          </w:tcPr>
          <w:p>
            <w:pPr>
              <w:widowControl/>
              <w:spacing w:beforeLines="0" w:afterLines="0" w:line="240" w:lineRule="auto"/>
              <w:ind w:firstLine="0" w:firstLineChars="0"/>
              <w:jc w:val="center"/>
              <w:rPr>
                <w:b/>
                <w:kern w:val="0"/>
                <w:sz w:val="21"/>
                <w:szCs w:val="21"/>
              </w:rPr>
            </w:pPr>
            <w:r>
              <w:rPr>
                <w:rFonts w:hAnsi="宋体"/>
                <w:b/>
                <w:kern w:val="0"/>
                <w:sz w:val="21"/>
                <w:szCs w:val="21"/>
              </w:rPr>
              <w:t>排放方式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293" w:type="pct"/>
            <w:vAlign w:val="center"/>
          </w:tcPr>
          <w:p>
            <w:pPr>
              <w:widowControl/>
              <w:spacing w:beforeLines="0" w:afterLines="0" w:line="240" w:lineRule="auto"/>
              <w:ind w:firstLine="0" w:firstLineChars="0"/>
              <w:jc w:val="center"/>
              <w:rPr>
                <w:kern w:val="0"/>
                <w:sz w:val="21"/>
                <w:szCs w:val="21"/>
              </w:rPr>
            </w:pPr>
            <w:r>
              <w:rPr>
                <w:kern w:val="0"/>
                <w:sz w:val="21"/>
                <w:szCs w:val="21"/>
              </w:rPr>
              <w:t>1</w:t>
            </w:r>
          </w:p>
        </w:tc>
        <w:tc>
          <w:tcPr>
            <w:tcW w:w="736" w:type="pct"/>
            <w:vAlign w:val="center"/>
          </w:tcPr>
          <w:p>
            <w:pPr>
              <w:widowControl/>
              <w:spacing w:beforeLines="0" w:afterLines="0" w:line="240" w:lineRule="auto"/>
              <w:ind w:firstLine="0" w:firstLineChars="0"/>
              <w:jc w:val="center"/>
              <w:rPr>
                <w:rFonts w:hAnsi="宋体"/>
                <w:kern w:val="0"/>
                <w:sz w:val="21"/>
                <w:szCs w:val="21"/>
              </w:rPr>
            </w:pPr>
            <w:r>
              <w:rPr>
                <w:rFonts w:hint="eastAsia" w:hAnsi="宋体"/>
                <w:kern w:val="0"/>
                <w:sz w:val="21"/>
                <w:szCs w:val="21"/>
              </w:rPr>
              <w:t>总汞</w:t>
            </w:r>
          </w:p>
        </w:tc>
        <w:tc>
          <w:tcPr>
            <w:tcW w:w="1895" w:type="pct"/>
            <w:vAlign w:val="center"/>
          </w:tcPr>
          <w:p>
            <w:pPr>
              <w:widowControl/>
              <w:spacing w:beforeLines="0" w:afterLines="0" w:line="240" w:lineRule="auto"/>
              <w:ind w:firstLine="0" w:firstLineChars="0"/>
              <w:jc w:val="center"/>
              <w:rPr>
                <w:rFonts w:hAnsi="宋体"/>
                <w:kern w:val="0"/>
                <w:sz w:val="21"/>
                <w:szCs w:val="21"/>
              </w:rPr>
            </w:pPr>
            <w:r>
              <w:rPr>
                <w:rFonts w:hint="eastAsia" w:hAnsi="宋体"/>
                <w:kern w:val="0"/>
                <w:sz w:val="21"/>
                <w:szCs w:val="21"/>
              </w:rPr>
              <w:t>未检出</w:t>
            </w:r>
          </w:p>
        </w:tc>
        <w:tc>
          <w:tcPr>
            <w:tcW w:w="736" w:type="pct"/>
            <w:vMerge w:val="restart"/>
            <w:vAlign w:val="center"/>
          </w:tcPr>
          <w:p>
            <w:pPr>
              <w:spacing w:beforeLines="0" w:afterLines="0" w:line="240" w:lineRule="auto"/>
              <w:ind w:firstLine="0" w:firstLineChars="0"/>
              <w:jc w:val="center"/>
              <w:rPr>
                <w:rFonts w:hAnsi="宋体"/>
                <w:kern w:val="0"/>
                <w:sz w:val="21"/>
                <w:szCs w:val="21"/>
              </w:rPr>
            </w:pPr>
            <w:r>
              <w:rPr>
                <w:rFonts w:hint="eastAsia"/>
                <w:kern w:val="0"/>
                <w:sz w:val="21"/>
                <w:szCs w:val="21"/>
              </w:rPr>
              <w:t>0</w:t>
            </w:r>
          </w:p>
        </w:tc>
        <w:tc>
          <w:tcPr>
            <w:tcW w:w="632" w:type="pct"/>
            <w:vMerge w:val="restart"/>
            <w:vAlign w:val="center"/>
          </w:tcPr>
          <w:p>
            <w:pPr>
              <w:spacing w:beforeLines="0" w:afterLines="0" w:line="240" w:lineRule="auto"/>
              <w:ind w:firstLine="0" w:firstLineChars="0"/>
              <w:jc w:val="center"/>
              <w:rPr>
                <w:rFonts w:hAnsi="宋体"/>
                <w:b/>
                <w:kern w:val="0"/>
                <w:sz w:val="21"/>
                <w:szCs w:val="21"/>
              </w:rPr>
            </w:pPr>
            <w:r>
              <w:rPr>
                <w:rFonts w:hint="eastAsia"/>
                <w:kern w:val="0"/>
                <w:sz w:val="21"/>
                <w:szCs w:val="21"/>
              </w:rPr>
              <w:t>全部回用不外排</w:t>
            </w:r>
          </w:p>
        </w:tc>
        <w:tc>
          <w:tcPr>
            <w:tcW w:w="708" w:type="pct"/>
            <w:vMerge w:val="restart"/>
            <w:vAlign w:val="center"/>
          </w:tcPr>
          <w:p>
            <w:pPr>
              <w:spacing w:beforeLines="0" w:afterLines="0" w:line="240" w:lineRule="auto"/>
              <w:ind w:firstLine="0" w:firstLineChars="0"/>
              <w:jc w:val="center"/>
              <w:rPr>
                <w:rFonts w:hAnsi="宋体"/>
                <w:b/>
                <w:kern w:val="0"/>
                <w:sz w:val="21"/>
                <w:szCs w:val="21"/>
              </w:rPr>
            </w:pPr>
            <w:r>
              <w:rPr>
                <w:rFonts w:hint="eastAsia"/>
                <w:kern w:val="0"/>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293" w:type="pct"/>
            <w:vAlign w:val="center"/>
          </w:tcPr>
          <w:p>
            <w:pPr>
              <w:widowControl/>
              <w:spacing w:beforeLines="0" w:afterLines="0" w:line="240" w:lineRule="auto"/>
              <w:ind w:firstLine="0" w:firstLineChars="0"/>
              <w:jc w:val="center"/>
              <w:rPr>
                <w:kern w:val="0"/>
                <w:sz w:val="21"/>
                <w:szCs w:val="21"/>
              </w:rPr>
            </w:pPr>
            <w:r>
              <w:rPr>
                <w:kern w:val="0"/>
                <w:sz w:val="21"/>
                <w:szCs w:val="21"/>
              </w:rPr>
              <w:t>2</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总镉</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未检出</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3</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总铅</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未检出</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4</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总铬</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未检出</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5</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总砷</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未检出</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6</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六价铬</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未检出</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7</w:t>
            </w:r>
          </w:p>
        </w:tc>
        <w:tc>
          <w:tcPr>
            <w:tcW w:w="736" w:type="pct"/>
            <w:vAlign w:val="center"/>
          </w:tcPr>
          <w:p>
            <w:pPr>
              <w:widowControl/>
              <w:spacing w:beforeLines="0" w:afterLines="0" w:line="240" w:lineRule="auto"/>
              <w:ind w:firstLine="0" w:firstLineChars="0"/>
              <w:jc w:val="center"/>
              <w:rPr>
                <w:kern w:val="0"/>
                <w:sz w:val="21"/>
                <w:szCs w:val="21"/>
              </w:rPr>
            </w:pPr>
            <w:r>
              <w:rPr>
                <w:kern w:val="0"/>
                <w:sz w:val="21"/>
                <w:szCs w:val="21"/>
              </w:rPr>
              <w:t>pH</w:t>
            </w:r>
          </w:p>
        </w:tc>
        <w:tc>
          <w:tcPr>
            <w:tcW w:w="1895" w:type="pct"/>
            <w:vAlign w:val="center"/>
          </w:tcPr>
          <w:p>
            <w:pPr>
              <w:widowControl/>
              <w:spacing w:beforeLines="0" w:afterLines="0" w:line="240" w:lineRule="auto"/>
              <w:ind w:firstLine="0" w:firstLineChars="0"/>
              <w:jc w:val="center"/>
              <w:rPr>
                <w:kern w:val="0"/>
                <w:sz w:val="21"/>
                <w:szCs w:val="21"/>
              </w:rPr>
            </w:pPr>
            <w:r>
              <w:rPr>
                <w:kern w:val="0"/>
                <w:sz w:val="21"/>
                <w:szCs w:val="21"/>
              </w:rPr>
              <w:t>7.</w:t>
            </w:r>
            <w:r>
              <w:rPr>
                <w:rFonts w:hint="eastAsia"/>
                <w:kern w:val="0"/>
                <w:sz w:val="21"/>
                <w:szCs w:val="21"/>
              </w:rPr>
              <w:t>06~</w:t>
            </w:r>
            <w:r>
              <w:rPr>
                <w:kern w:val="0"/>
                <w:sz w:val="21"/>
                <w:szCs w:val="21"/>
              </w:rPr>
              <w:t>7</w:t>
            </w:r>
            <w:r>
              <w:rPr>
                <w:rFonts w:hint="eastAsia"/>
                <w:kern w:val="0"/>
                <w:sz w:val="21"/>
                <w:szCs w:val="21"/>
              </w:rPr>
              <w:t>.66</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8</w:t>
            </w:r>
          </w:p>
        </w:tc>
        <w:tc>
          <w:tcPr>
            <w:tcW w:w="736"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COD</w:t>
            </w:r>
            <w:r>
              <w:rPr>
                <w:rFonts w:hint="eastAsia"/>
                <w:kern w:val="0"/>
                <w:sz w:val="21"/>
                <w:szCs w:val="21"/>
                <w:vertAlign w:val="subscript"/>
              </w:rPr>
              <w:t>Cr</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33</w:t>
            </w:r>
            <w:r>
              <w:rPr>
                <w:kern w:val="0"/>
                <w:sz w:val="21"/>
                <w:szCs w:val="21"/>
              </w:rPr>
              <w:t>~</w:t>
            </w:r>
            <w:r>
              <w:rPr>
                <w:rFonts w:hint="eastAsia"/>
                <w:kern w:val="0"/>
                <w:sz w:val="21"/>
                <w:szCs w:val="21"/>
              </w:rPr>
              <w:t>45</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trPr>
        <w:tc>
          <w:tcPr>
            <w:tcW w:w="293"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9</w:t>
            </w:r>
          </w:p>
        </w:tc>
        <w:tc>
          <w:tcPr>
            <w:tcW w:w="736" w:type="pct"/>
            <w:vAlign w:val="center"/>
          </w:tcPr>
          <w:p>
            <w:pPr>
              <w:widowControl/>
              <w:spacing w:beforeLines="0" w:afterLines="0" w:line="240" w:lineRule="auto"/>
              <w:ind w:firstLine="0" w:firstLineChars="0"/>
              <w:jc w:val="center"/>
              <w:rPr>
                <w:kern w:val="0"/>
                <w:sz w:val="21"/>
                <w:szCs w:val="21"/>
              </w:rPr>
            </w:pPr>
            <w:r>
              <w:rPr>
                <w:kern w:val="0"/>
                <w:sz w:val="21"/>
                <w:szCs w:val="21"/>
              </w:rPr>
              <w:t>SS</w:t>
            </w:r>
          </w:p>
        </w:tc>
        <w:tc>
          <w:tcPr>
            <w:tcW w:w="1895" w:type="pct"/>
            <w:vAlign w:val="center"/>
          </w:tcPr>
          <w:p>
            <w:pPr>
              <w:widowControl/>
              <w:spacing w:beforeLines="0" w:afterLines="0" w:line="240" w:lineRule="auto"/>
              <w:ind w:firstLine="0" w:firstLineChars="0"/>
              <w:jc w:val="center"/>
              <w:rPr>
                <w:kern w:val="0"/>
                <w:sz w:val="21"/>
                <w:szCs w:val="21"/>
              </w:rPr>
            </w:pPr>
            <w:r>
              <w:rPr>
                <w:rFonts w:hint="eastAsia"/>
                <w:kern w:val="0"/>
                <w:sz w:val="21"/>
                <w:szCs w:val="21"/>
              </w:rPr>
              <w:t>9</w:t>
            </w:r>
            <w:r>
              <w:rPr>
                <w:kern w:val="0"/>
                <w:sz w:val="21"/>
                <w:szCs w:val="21"/>
              </w:rPr>
              <w:t>~</w:t>
            </w:r>
            <w:r>
              <w:rPr>
                <w:rFonts w:hint="eastAsia"/>
                <w:kern w:val="0"/>
                <w:sz w:val="21"/>
                <w:szCs w:val="21"/>
              </w:rPr>
              <w:t>22</w:t>
            </w:r>
          </w:p>
        </w:tc>
        <w:tc>
          <w:tcPr>
            <w:tcW w:w="736" w:type="pct"/>
            <w:vMerge w:val="continue"/>
            <w:vAlign w:val="center"/>
          </w:tcPr>
          <w:p>
            <w:pPr>
              <w:widowControl/>
              <w:spacing w:beforeLines="0" w:afterLines="0" w:line="240" w:lineRule="auto"/>
              <w:ind w:firstLine="0" w:firstLineChars="0"/>
              <w:jc w:val="center"/>
              <w:rPr>
                <w:kern w:val="0"/>
                <w:sz w:val="21"/>
                <w:szCs w:val="21"/>
              </w:rPr>
            </w:pPr>
          </w:p>
        </w:tc>
        <w:tc>
          <w:tcPr>
            <w:tcW w:w="632" w:type="pct"/>
            <w:vMerge w:val="continue"/>
            <w:vAlign w:val="center"/>
          </w:tcPr>
          <w:p>
            <w:pPr>
              <w:widowControl/>
              <w:spacing w:beforeLines="0" w:afterLines="0" w:line="240" w:lineRule="auto"/>
              <w:ind w:firstLine="0" w:firstLineChars="0"/>
              <w:jc w:val="center"/>
              <w:rPr>
                <w:kern w:val="0"/>
                <w:sz w:val="21"/>
                <w:szCs w:val="21"/>
              </w:rPr>
            </w:pPr>
          </w:p>
        </w:tc>
        <w:tc>
          <w:tcPr>
            <w:tcW w:w="708" w:type="pct"/>
            <w:vMerge w:val="continue"/>
            <w:vAlign w:val="center"/>
          </w:tcPr>
          <w:p>
            <w:pPr>
              <w:widowControl/>
              <w:spacing w:beforeLines="0" w:afterLines="0" w:line="240" w:lineRule="auto"/>
              <w:ind w:firstLine="0" w:firstLineChars="0"/>
              <w:jc w:val="center"/>
              <w:rPr>
                <w:kern w:val="0"/>
                <w:sz w:val="21"/>
                <w:szCs w:val="21"/>
              </w:rPr>
            </w:pPr>
          </w:p>
        </w:tc>
      </w:tr>
    </w:tbl>
    <w:p>
      <w:pPr>
        <w:pStyle w:val="4"/>
      </w:pPr>
      <w:r>
        <w:rPr>
          <w:rFonts w:hint="eastAsia"/>
        </w:rPr>
        <w:t>3.1.3 厂界噪声达标情况</w:t>
      </w:r>
      <w:bookmarkEnd w:id="22"/>
      <w:bookmarkEnd w:id="23"/>
      <w:bookmarkEnd w:id="24"/>
    </w:p>
    <w:p>
      <w:pPr>
        <w:spacing w:before="93" w:beforeLines="30" w:after="93" w:afterLines="30"/>
        <w:ind w:firstLine="480"/>
        <w:rPr>
          <w:rFonts w:eastAsia="仿宋_GB2312"/>
          <w:sz w:val="24"/>
        </w:rPr>
      </w:pPr>
      <w:r>
        <w:rPr>
          <w:rFonts w:hint="eastAsia" w:eastAsia="仿宋_GB2312"/>
          <w:sz w:val="24"/>
        </w:rPr>
        <w:t>曙光金铜矿噪声源主要为各类机械设备，其中露天采场主要噪声源为钻机、爆破、采掘机械、铲运设备等，选矿厂区主要噪声源为破碎机、圆振动筛、球磨机、重选机、空压机及各种泵类等。曙光金铜矿对强噪声源均设置减振装置和消声器，并利用建筑隔音，对外界环境影响较小。</w:t>
      </w:r>
    </w:p>
    <w:p>
      <w:pPr>
        <w:spacing w:before="93" w:beforeLines="30" w:after="93" w:afterLines="30"/>
        <w:ind w:firstLine="480"/>
        <w:rPr>
          <w:rFonts w:eastAsia="仿宋_GB2312"/>
          <w:sz w:val="24"/>
        </w:rPr>
      </w:pPr>
      <w:bookmarkStart w:id="25" w:name="_Toc441676829"/>
      <w:bookmarkStart w:id="26" w:name="_Toc435621447"/>
      <w:r>
        <w:rPr>
          <w:rFonts w:hint="eastAsia" w:eastAsia="仿宋_GB2312"/>
          <w:sz w:val="24"/>
        </w:rPr>
        <w:t>通过曙光金铜矿</w:t>
      </w:r>
      <w:r>
        <w:rPr>
          <w:rFonts w:eastAsia="仿宋_GB2312"/>
          <w:sz w:val="24"/>
        </w:rPr>
        <w:t>20</w:t>
      </w:r>
      <w:r>
        <w:rPr>
          <w:rFonts w:hint="eastAsia" w:eastAsia="仿宋_GB2312"/>
          <w:sz w:val="24"/>
        </w:rPr>
        <w:t>20</w:t>
      </w:r>
      <w:r>
        <w:rPr>
          <w:rFonts w:eastAsia="仿宋_GB2312"/>
          <w:sz w:val="24"/>
        </w:rPr>
        <w:t>年噪声监测</w:t>
      </w:r>
      <w:r>
        <w:rPr>
          <w:rFonts w:hint="eastAsia" w:eastAsia="仿宋_GB2312"/>
          <w:sz w:val="24"/>
        </w:rPr>
        <w:t>情况可知，</w:t>
      </w:r>
      <w:r>
        <w:rPr>
          <w:rFonts w:eastAsia="仿宋_GB2312"/>
          <w:sz w:val="24"/>
        </w:rPr>
        <w:t>厂界噪声满足《工业企业厂界环境噪声排放标准》（GB12348-2008）2类标准</w:t>
      </w:r>
      <w:r>
        <w:rPr>
          <w:rFonts w:hint="eastAsia" w:eastAsia="仿宋_GB2312"/>
          <w:sz w:val="24"/>
        </w:rPr>
        <w:t>。办公区、生活区噪声满足《声环境质量标准》（GB3096-2008）</w:t>
      </w:r>
      <w:r>
        <w:rPr>
          <w:rFonts w:eastAsia="仿宋_GB2312"/>
          <w:sz w:val="24"/>
        </w:rPr>
        <w:t>2类标准</w:t>
      </w:r>
      <w:r>
        <w:rPr>
          <w:rFonts w:hint="eastAsia" w:eastAsia="仿宋_GB2312"/>
          <w:sz w:val="24"/>
        </w:rPr>
        <w:t>。</w:t>
      </w:r>
      <w:r>
        <w:rPr>
          <w:rFonts w:eastAsia="仿宋_GB2312"/>
          <w:sz w:val="24"/>
        </w:rPr>
        <w:t>详见表</w:t>
      </w:r>
      <w:r>
        <w:rPr>
          <w:rFonts w:hint="eastAsia" w:eastAsia="仿宋_GB2312"/>
          <w:sz w:val="24"/>
        </w:rPr>
        <w:t>3-3</w:t>
      </w:r>
      <w:r>
        <w:rPr>
          <w:rFonts w:eastAsia="仿宋_GB2312"/>
          <w:sz w:val="24"/>
        </w:rPr>
        <w:t>。</w:t>
      </w:r>
    </w:p>
    <w:p>
      <w:pPr>
        <w:pStyle w:val="10"/>
        <w:spacing w:beforeLines="0" w:line="240" w:lineRule="auto"/>
      </w:pPr>
      <w:r>
        <w:rPr>
          <w:rFonts w:hint="eastAsia"/>
        </w:rPr>
        <w:t xml:space="preserve">表3-3  2020年厂界噪声达标情况 </w:t>
      </w:r>
      <w:r>
        <w:t xml:space="preserve"> </w:t>
      </w:r>
      <w:r>
        <w:rPr>
          <w:rFonts w:hint="eastAsia"/>
        </w:rPr>
        <w:t>单位d</w:t>
      </w:r>
      <w:r>
        <w:t>B</w:t>
      </w:r>
      <w:r>
        <w:rPr>
          <w:rFonts w:hint="eastAsia"/>
        </w:rPr>
        <w:t>（A）</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0"/>
        <w:gridCol w:w="1919"/>
        <w:gridCol w:w="1802"/>
        <w:gridCol w:w="1923"/>
        <w:gridCol w:w="18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593" w:type="pct"/>
            <w:vAlign w:val="center"/>
          </w:tcPr>
          <w:p>
            <w:pPr>
              <w:spacing w:beforeLines="0" w:afterLines="0" w:line="240" w:lineRule="auto"/>
              <w:ind w:firstLine="0" w:firstLineChars="0"/>
              <w:jc w:val="center"/>
              <w:rPr>
                <w:b/>
                <w:sz w:val="21"/>
              </w:rPr>
            </w:pPr>
            <w:r>
              <w:rPr>
                <w:rFonts w:hint="eastAsia"/>
                <w:b/>
                <w:sz w:val="21"/>
              </w:rPr>
              <w:t>序号</w:t>
            </w:r>
          </w:p>
        </w:tc>
        <w:tc>
          <w:tcPr>
            <w:tcW w:w="1126" w:type="pct"/>
            <w:vAlign w:val="center"/>
          </w:tcPr>
          <w:p>
            <w:pPr>
              <w:spacing w:beforeLines="0" w:afterLines="0" w:line="240" w:lineRule="auto"/>
              <w:ind w:firstLine="0" w:firstLineChars="0"/>
              <w:jc w:val="center"/>
              <w:rPr>
                <w:b/>
                <w:sz w:val="21"/>
              </w:rPr>
            </w:pPr>
            <w:r>
              <w:rPr>
                <w:rFonts w:hint="eastAsia"/>
                <w:b/>
                <w:sz w:val="21"/>
              </w:rPr>
              <w:t>监测点位置</w:t>
            </w:r>
          </w:p>
        </w:tc>
        <w:tc>
          <w:tcPr>
            <w:tcW w:w="1057" w:type="pct"/>
            <w:vAlign w:val="center"/>
          </w:tcPr>
          <w:p>
            <w:pPr>
              <w:spacing w:beforeLines="0" w:afterLines="0" w:line="240" w:lineRule="auto"/>
              <w:ind w:firstLine="0" w:firstLineChars="0"/>
              <w:jc w:val="center"/>
              <w:rPr>
                <w:b/>
                <w:sz w:val="21"/>
              </w:rPr>
            </w:pPr>
            <w:r>
              <w:rPr>
                <w:rFonts w:hint="eastAsia"/>
                <w:b/>
                <w:sz w:val="21"/>
              </w:rPr>
              <w:t>昼间噪声值</w:t>
            </w:r>
          </w:p>
        </w:tc>
        <w:tc>
          <w:tcPr>
            <w:tcW w:w="1128" w:type="pct"/>
          </w:tcPr>
          <w:p>
            <w:pPr>
              <w:spacing w:beforeLines="0" w:afterLines="0" w:line="240" w:lineRule="auto"/>
              <w:ind w:firstLine="0" w:firstLineChars="0"/>
              <w:jc w:val="center"/>
              <w:rPr>
                <w:b/>
                <w:sz w:val="21"/>
              </w:rPr>
            </w:pPr>
            <w:r>
              <w:rPr>
                <w:rFonts w:hint="eastAsia"/>
                <w:b/>
                <w:sz w:val="21"/>
              </w:rPr>
              <w:t>夜间噪声值</w:t>
            </w:r>
          </w:p>
        </w:tc>
        <w:tc>
          <w:tcPr>
            <w:tcW w:w="1096" w:type="pct"/>
            <w:vAlign w:val="center"/>
          </w:tcPr>
          <w:p>
            <w:pPr>
              <w:spacing w:beforeLines="0" w:afterLines="0" w:line="240" w:lineRule="auto"/>
              <w:ind w:firstLine="0" w:firstLineChars="0"/>
              <w:jc w:val="center"/>
              <w:rPr>
                <w:b/>
                <w:sz w:val="21"/>
              </w:rPr>
            </w:pPr>
            <w:r>
              <w:rPr>
                <w:rFonts w:hint="eastAsia"/>
                <w:b/>
                <w:sz w:val="21"/>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beforeLines="0" w:afterLines="0" w:line="240" w:lineRule="auto"/>
              <w:ind w:firstLine="0" w:firstLineChars="0"/>
              <w:jc w:val="center"/>
              <w:rPr>
                <w:sz w:val="21"/>
              </w:rPr>
            </w:pPr>
            <w:r>
              <w:rPr>
                <w:rFonts w:hint="eastAsia"/>
                <w:sz w:val="21"/>
              </w:rPr>
              <w:t>1</w:t>
            </w:r>
          </w:p>
        </w:tc>
        <w:tc>
          <w:tcPr>
            <w:tcW w:w="1126" w:type="pct"/>
            <w:vAlign w:val="center"/>
          </w:tcPr>
          <w:p>
            <w:pPr>
              <w:spacing w:beforeLines="0" w:afterLines="0" w:line="240" w:lineRule="auto"/>
              <w:ind w:firstLine="0" w:firstLineChars="0"/>
              <w:jc w:val="center"/>
              <w:rPr>
                <w:sz w:val="21"/>
              </w:rPr>
            </w:pPr>
            <w:r>
              <w:rPr>
                <w:rFonts w:hint="eastAsia"/>
                <w:sz w:val="21"/>
              </w:rPr>
              <w:t>北侧厂界</w:t>
            </w:r>
          </w:p>
        </w:tc>
        <w:tc>
          <w:tcPr>
            <w:tcW w:w="1057" w:type="pct"/>
            <w:vAlign w:val="center"/>
          </w:tcPr>
          <w:p>
            <w:pPr>
              <w:spacing w:beforeLines="0" w:afterLines="0" w:line="240" w:lineRule="auto"/>
              <w:ind w:firstLine="0" w:firstLineChars="0"/>
              <w:jc w:val="center"/>
              <w:rPr>
                <w:sz w:val="21"/>
              </w:rPr>
            </w:pPr>
            <w:r>
              <w:rPr>
                <w:rFonts w:hint="eastAsia"/>
                <w:sz w:val="21"/>
              </w:rPr>
              <w:t>45.2~51.7</w:t>
            </w:r>
          </w:p>
        </w:tc>
        <w:tc>
          <w:tcPr>
            <w:tcW w:w="1128" w:type="pct"/>
            <w:vAlign w:val="center"/>
          </w:tcPr>
          <w:p>
            <w:pPr>
              <w:spacing w:beforeLines="0" w:afterLines="0" w:line="240" w:lineRule="auto"/>
              <w:ind w:firstLine="0" w:firstLineChars="0"/>
              <w:jc w:val="center"/>
              <w:rPr>
                <w:sz w:val="21"/>
              </w:rPr>
            </w:pPr>
            <w:r>
              <w:rPr>
                <w:rFonts w:hint="eastAsia"/>
                <w:sz w:val="21"/>
              </w:rPr>
              <w:t>41.6~44.7</w:t>
            </w:r>
          </w:p>
        </w:tc>
        <w:tc>
          <w:tcPr>
            <w:tcW w:w="1096" w:type="pct"/>
            <w:vAlign w:val="center"/>
          </w:tcPr>
          <w:p>
            <w:pPr>
              <w:spacing w:beforeLines="0" w:afterLines="0" w:line="240" w:lineRule="auto"/>
              <w:ind w:firstLine="0" w:firstLineChars="0"/>
              <w:jc w:val="center"/>
              <w:rPr>
                <w:sz w:val="21"/>
              </w:rPr>
            </w:pPr>
            <w:r>
              <w:rPr>
                <w:rFonts w:hint="eastAsia"/>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beforeLines="0" w:afterLines="0" w:line="240" w:lineRule="auto"/>
              <w:ind w:firstLine="0" w:firstLineChars="0"/>
              <w:jc w:val="center"/>
              <w:rPr>
                <w:sz w:val="21"/>
              </w:rPr>
            </w:pPr>
            <w:r>
              <w:rPr>
                <w:rFonts w:hint="eastAsia"/>
                <w:sz w:val="21"/>
              </w:rPr>
              <w:t>2</w:t>
            </w:r>
          </w:p>
        </w:tc>
        <w:tc>
          <w:tcPr>
            <w:tcW w:w="1126" w:type="pct"/>
            <w:vAlign w:val="center"/>
          </w:tcPr>
          <w:p>
            <w:pPr>
              <w:spacing w:beforeLines="0" w:afterLines="0" w:line="240" w:lineRule="auto"/>
              <w:ind w:firstLine="0" w:firstLineChars="0"/>
              <w:jc w:val="center"/>
              <w:rPr>
                <w:sz w:val="21"/>
              </w:rPr>
            </w:pPr>
            <w:r>
              <w:rPr>
                <w:rFonts w:hint="eastAsia"/>
                <w:sz w:val="21"/>
              </w:rPr>
              <w:t>东侧厂界</w:t>
            </w:r>
          </w:p>
        </w:tc>
        <w:tc>
          <w:tcPr>
            <w:tcW w:w="1057" w:type="pct"/>
            <w:vAlign w:val="center"/>
          </w:tcPr>
          <w:p>
            <w:pPr>
              <w:spacing w:beforeLines="0" w:afterLines="0" w:line="240" w:lineRule="auto"/>
              <w:ind w:firstLine="0" w:firstLineChars="0"/>
              <w:jc w:val="center"/>
              <w:rPr>
                <w:sz w:val="21"/>
              </w:rPr>
            </w:pPr>
            <w:r>
              <w:rPr>
                <w:rFonts w:hint="eastAsia"/>
                <w:sz w:val="21"/>
              </w:rPr>
              <w:t>48.3~53.2</w:t>
            </w:r>
          </w:p>
        </w:tc>
        <w:tc>
          <w:tcPr>
            <w:tcW w:w="1128" w:type="pct"/>
            <w:vAlign w:val="center"/>
          </w:tcPr>
          <w:p>
            <w:pPr>
              <w:spacing w:beforeLines="0" w:afterLines="0" w:line="240" w:lineRule="auto"/>
              <w:ind w:firstLine="0" w:firstLineChars="0"/>
              <w:jc w:val="center"/>
              <w:rPr>
                <w:sz w:val="21"/>
              </w:rPr>
            </w:pPr>
            <w:r>
              <w:rPr>
                <w:rFonts w:hint="eastAsia"/>
                <w:sz w:val="21"/>
              </w:rPr>
              <w:t>41.7~43.8</w:t>
            </w:r>
          </w:p>
        </w:tc>
        <w:tc>
          <w:tcPr>
            <w:tcW w:w="1096" w:type="pct"/>
            <w:vAlign w:val="center"/>
          </w:tcPr>
          <w:p>
            <w:pPr>
              <w:spacing w:beforeLines="0" w:afterLines="0" w:line="240" w:lineRule="auto"/>
              <w:ind w:firstLine="0" w:firstLineChars="0"/>
              <w:jc w:val="center"/>
              <w:rPr>
                <w:sz w:val="21"/>
              </w:rPr>
            </w:pPr>
            <w:r>
              <w:rPr>
                <w:rFonts w:hint="eastAsia"/>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beforeLines="0" w:afterLines="0" w:line="240" w:lineRule="auto"/>
              <w:ind w:firstLine="0" w:firstLineChars="0"/>
              <w:jc w:val="center"/>
              <w:rPr>
                <w:sz w:val="21"/>
              </w:rPr>
            </w:pPr>
            <w:r>
              <w:rPr>
                <w:rFonts w:hint="eastAsia"/>
                <w:sz w:val="21"/>
              </w:rPr>
              <w:t>3</w:t>
            </w:r>
          </w:p>
        </w:tc>
        <w:tc>
          <w:tcPr>
            <w:tcW w:w="1126" w:type="pct"/>
            <w:vAlign w:val="center"/>
          </w:tcPr>
          <w:p>
            <w:pPr>
              <w:spacing w:beforeLines="0" w:afterLines="0" w:line="240" w:lineRule="auto"/>
              <w:ind w:firstLine="0" w:firstLineChars="0"/>
              <w:jc w:val="center"/>
              <w:rPr>
                <w:sz w:val="21"/>
              </w:rPr>
            </w:pPr>
            <w:r>
              <w:rPr>
                <w:rFonts w:hint="eastAsia"/>
                <w:sz w:val="21"/>
              </w:rPr>
              <w:t>南侧厂界</w:t>
            </w:r>
          </w:p>
        </w:tc>
        <w:tc>
          <w:tcPr>
            <w:tcW w:w="1057" w:type="pct"/>
            <w:vAlign w:val="center"/>
          </w:tcPr>
          <w:p>
            <w:pPr>
              <w:spacing w:beforeLines="0" w:afterLines="0" w:line="240" w:lineRule="auto"/>
              <w:ind w:firstLine="0" w:firstLineChars="0"/>
              <w:jc w:val="center"/>
              <w:rPr>
                <w:sz w:val="21"/>
              </w:rPr>
            </w:pPr>
            <w:r>
              <w:rPr>
                <w:rFonts w:hint="eastAsia"/>
                <w:sz w:val="21"/>
              </w:rPr>
              <w:t>45.3~51.8</w:t>
            </w:r>
          </w:p>
        </w:tc>
        <w:tc>
          <w:tcPr>
            <w:tcW w:w="1128" w:type="pct"/>
            <w:vAlign w:val="center"/>
          </w:tcPr>
          <w:p>
            <w:pPr>
              <w:spacing w:beforeLines="0" w:afterLines="0" w:line="240" w:lineRule="auto"/>
              <w:ind w:firstLine="0" w:firstLineChars="0"/>
              <w:jc w:val="center"/>
              <w:rPr>
                <w:sz w:val="21"/>
              </w:rPr>
            </w:pPr>
            <w:r>
              <w:rPr>
                <w:rFonts w:hint="eastAsia"/>
                <w:sz w:val="21"/>
              </w:rPr>
              <w:t>42.3~44.0</w:t>
            </w:r>
          </w:p>
        </w:tc>
        <w:tc>
          <w:tcPr>
            <w:tcW w:w="1096" w:type="pct"/>
            <w:vAlign w:val="center"/>
          </w:tcPr>
          <w:p>
            <w:pPr>
              <w:spacing w:beforeLines="0" w:afterLines="0" w:line="240" w:lineRule="auto"/>
              <w:ind w:firstLine="0" w:firstLineChars="0"/>
              <w:jc w:val="center"/>
              <w:rPr>
                <w:sz w:val="21"/>
              </w:rPr>
            </w:pPr>
            <w:r>
              <w:rPr>
                <w:rFonts w:hint="eastAsia"/>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beforeLines="0" w:afterLines="0" w:line="240" w:lineRule="auto"/>
              <w:ind w:firstLine="0" w:firstLineChars="0"/>
              <w:jc w:val="center"/>
              <w:rPr>
                <w:sz w:val="21"/>
              </w:rPr>
            </w:pPr>
            <w:r>
              <w:rPr>
                <w:rFonts w:hint="eastAsia"/>
                <w:sz w:val="21"/>
              </w:rPr>
              <w:t>4</w:t>
            </w:r>
          </w:p>
        </w:tc>
        <w:tc>
          <w:tcPr>
            <w:tcW w:w="1126" w:type="pct"/>
            <w:vAlign w:val="center"/>
          </w:tcPr>
          <w:p>
            <w:pPr>
              <w:spacing w:beforeLines="0" w:afterLines="0" w:line="240" w:lineRule="auto"/>
              <w:ind w:firstLine="0" w:firstLineChars="0"/>
              <w:jc w:val="center"/>
              <w:rPr>
                <w:sz w:val="21"/>
              </w:rPr>
            </w:pPr>
            <w:r>
              <w:rPr>
                <w:rFonts w:hint="eastAsia"/>
                <w:sz w:val="21"/>
              </w:rPr>
              <w:t>西侧厂界</w:t>
            </w:r>
          </w:p>
        </w:tc>
        <w:tc>
          <w:tcPr>
            <w:tcW w:w="1057" w:type="pct"/>
            <w:vAlign w:val="center"/>
          </w:tcPr>
          <w:p>
            <w:pPr>
              <w:spacing w:beforeLines="0" w:afterLines="0" w:line="240" w:lineRule="auto"/>
              <w:ind w:firstLine="0" w:firstLineChars="0"/>
              <w:jc w:val="center"/>
              <w:rPr>
                <w:sz w:val="21"/>
              </w:rPr>
            </w:pPr>
            <w:r>
              <w:rPr>
                <w:rFonts w:hint="eastAsia"/>
                <w:sz w:val="21"/>
              </w:rPr>
              <w:t>46.0~54.1</w:t>
            </w:r>
          </w:p>
        </w:tc>
        <w:tc>
          <w:tcPr>
            <w:tcW w:w="1128" w:type="pct"/>
            <w:vAlign w:val="center"/>
          </w:tcPr>
          <w:p>
            <w:pPr>
              <w:spacing w:beforeLines="0" w:afterLines="0" w:line="240" w:lineRule="auto"/>
              <w:ind w:firstLine="0" w:firstLineChars="0"/>
              <w:jc w:val="center"/>
              <w:rPr>
                <w:sz w:val="21"/>
              </w:rPr>
            </w:pPr>
            <w:r>
              <w:rPr>
                <w:rFonts w:hint="eastAsia"/>
                <w:sz w:val="21"/>
              </w:rPr>
              <w:t>40.3~42.8</w:t>
            </w:r>
          </w:p>
        </w:tc>
        <w:tc>
          <w:tcPr>
            <w:tcW w:w="1096" w:type="pct"/>
            <w:vAlign w:val="center"/>
          </w:tcPr>
          <w:p>
            <w:pPr>
              <w:spacing w:beforeLines="0" w:afterLines="0" w:line="240" w:lineRule="auto"/>
              <w:ind w:firstLine="0" w:firstLineChars="0"/>
              <w:jc w:val="center"/>
              <w:rPr>
                <w:sz w:val="21"/>
              </w:rPr>
            </w:pPr>
            <w:r>
              <w:rPr>
                <w:rFonts w:hint="eastAsia"/>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19" w:type="pct"/>
            <w:gridSpan w:val="2"/>
            <w:vAlign w:val="center"/>
          </w:tcPr>
          <w:p>
            <w:pPr>
              <w:spacing w:beforeLines="0" w:afterLines="0" w:line="240" w:lineRule="auto"/>
              <w:ind w:firstLine="0" w:firstLineChars="0"/>
              <w:jc w:val="center"/>
              <w:rPr>
                <w:sz w:val="21"/>
              </w:rPr>
            </w:pPr>
            <w:r>
              <w:rPr>
                <w:rFonts w:hint="eastAsia"/>
                <w:sz w:val="21"/>
              </w:rPr>
              <w:t>执行标准</w:t>
            </w:r>
          </w:p>
        </w:tc>
        <w:tc>
          <w:tcPr>
            <w:tcW w:w="1057" w:type="pct"/>
            <w:vAlign w:val="center"/>
          </w:tcPr>
          <w:p>
            <w:pPr>
              <w:spacing w:beforeLines="0" w:afterLines="0" w:line="240" w:lineRule="auto"/>
              <w:ind w:firstLine="0" w:firstLineChars="0"/>
              <w:jc w:val="center"/>
              <w:rPr>
                <w:sz w:val="21"/>
              </w:rPr>
            </w:pPr>
            <w:r>
              <w:rPr>
                <w:rFonts w:hint="eastAsia"/>
                <w:sz w:val="21"/>
              </w:rPr>
              <w:t>60</w:t>
            </w:r>
          </w:p>
        </w:tc>
        <w:tc>
          <w:tcPr>
            <w:tcW w:w="1128" w:type="pct"/>
            <w:vAlign w:val="center"/>
          </w:tcPr>
          <w:p>
            <w:pPr>
              <w:spacing w:beforeLines="0" w:afterLines="0" w:line="240" w:lineRule="auto"/>
              <w:ind w:firstLine="0" w:firstLineChars="0"/>
              <w:jc w:val="center"/>
              <w:rPr>
                <w:sz w:val="21"/>
              </w:rPr>
            </w:pPr>
            <w:r>
              <w:rPr>
                <w:rFonts w:hint="eastAsia"/>
                <w:sz w:val="21"/>
              </w:rPr>
              <w:t>50</w:t>
            </w:r>
          </w:p>
        </w:tc>
        <w:tc>
          <w:tcPr>
            <w:tcW w:w="1096" w:type="pct"/>
            <w:vAlign w:val="center"/>
          </w:tcPr>
          <w:p>
            <w:pPr>
              <w:spacing w:beforeLines="0" w:afterLines="0" w:line="240" w:lineRule="auto"/>
              <w:ind w:firstLine="0" w:firstLineChars="0"/>
              <w:jc w:val="center"/>
              <w:rPr>
                <w:sz w:val="21"/>
              </w:rPr>
            </w:pPr>
          </w:p>
        </w:tc>
      </w:tr>
    </w:tbl>
    <w:p>
      <w:pPr>
        <w:pStyle w:val="3"/>
        <w:spacing w:before="124" w:after="124"/>
        <w:rPr>
          <w:color w:val="auto"/>
        </w:rPr>
      </w:pPr>
      <w:bookmarkStart w:id="27" w:name="_Toc66281440"/>
      <w:r>
        <w:rPr>
          <w:rFonts w:hint="eastAsia"/>
          <w:color w:val="auto"/>
        </w:rPr>
        <w:t>3.2 固体废物排放情况</w:t>
      </w:r>
      <w:bookmarkEnd w:id="27"/>
    </w:p>
    <w:p>
      <w:pPr>
        <w:spacing w:beforeLines="0" w:afterLines="0"/>
        <w:ind w:firstLine="480"/>
        <w:rPr>
          <w:rFonts w:eastAsia="仿宋_GB2312"/>
          <w:sz w:val="24"/>
        </w:rPr>
      </w:pPr>
      <w:r>
        <w:rPr>
          <w:rFonts w:hint="eastAsia" w:eastAsia="仿宋_GB2312"/>
          <w:sz w:val="24"/>
        </w:rPr>
        <w:t>曙光金铜矿各类固体废物</w:t>
      </w:r>
      <w:r>
        <w:rPr>
          <w:rFonts w:eastAsia="仿宋_GB2312"/>
          <w:sz w:val="24"/>
        </w:rPr>
        <w:t>处理</w:t>
      </w:r>
      <w:r>
        <w:rPr>
          <w:rFonts w:hint="eastAsia" w:eastAsia="仿宋_GB2312"/>
          <w:sz w:val="24"/>
        </w:rPr>
        <w:t>、</w:t>
      </w:r>
      <w:r>
        <w:rPr>
          <w:rFonts w:eastAsia="仿宋_GB2312"/>
          <w:sz w:val="24"/>
        </w:rPr>
        <w:t>处置情况详见表</w:t>
      </w:r>
      <w:r>
        <w:rPr>
          <w:rFonts w:hint="eastAsia" w:eastAsia="仿宋_GB2312"/>
          <w:sz w:val="24"/>
        </w:rPr>
        <w:t>3-4</w:t>
      </w:r>
      <w:r>
        <w:rPr>
          <w:rFonts w:eastAsia="仿宋_GB2312"/>
          <w:sz w:val="24"/>
        </w:rPr>
        <w:t>。</w:t>
      </w:r>
    </w:p>
    <w:p>
      <w:pPr>
        <w:pStyle w:val="10"/>
        <w:spacing w:beforeLines="0" w:line="240" w:lineRule="auto"/>
      </w:pPr>
      <w:r>
        <w:t>表</w:t>
      </w:r>
      <w:r>
        <w:rPr>
          <w:rFonts w:hint="eastAsia"/>
        </w:rPr>
        <w:t>3-4  2020年各类固体废物处理、处置情况</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653"/>
        <w:gridCol w:w="806"/>
        <w:gridCol w:w="1319"/>
        <w:gridCol w:w="855"/>
        <w:gridCol w:w="855"/>
        <w:gridCol w:w="1320"/>
        <w:gridCol w:w="1438"/>
        <w:gridCol w:w="8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tblHeader/>
          <w:jc w:val="center"/>
        </w:trPr>
        <w:tc>
          <w:tcPr>
            <w:tcW w:w="279" w:type="pct"/>
            <w:vAlign w:val="center"/>
          </w:tcPr>
          <w:p>
            <w:pPr>
              <w:widowControl/>
              <w:spacing w:beforeLines="0" w:afterLines="0" w:line="240" w:lineRule="auto"/>
              <w:ind w:firstLine="0" w:firstLineChars="0"/>
              <w:jc w:val="center"/>
              <w:rPr>
                <w:b/>
                <w:kern w:val="0"/>
                <w:sz w:val="21"/>
                <w:szCs w:val="21"/>
              </w:rPr>
            </w:pPr>
            <w:r>
              <w:rPr>
                <w:b/>
                <w:kern w:val="0"/>
                <w:sz w:val="21"/>
                <w:szCs w:val="21"/>
              </w:rPr>
              <w:t>序号</w:t>
            </w:r>
          </w:p>
        </w:tc>
        <w:tc>
          <w:tcPr>
            <w:tcW w:w="445" w:type="pct"/>
            <w:vAlign w:val="center"/>
          </w:tcPr>
          <w:p>
            <w:pPr>
              <w:widowControl/>
              <w:spacing w:beforeLines="0" w:afterLines="0" w:line="240" w:lineRule="auto"/>
              <w:ind w:firstLine="0" w:firstLineChars="0"/>
              <w:jc w:val="center"/>
              <w:rPr>
                <w:b/>
                <w:kern w:val="0"/>
                <w:sz w:val="21"/>
                <w:szCs w:val="21"/>
              </w:rPr>
            </w:pPr>
            <w:r>
              <w:rPr>
                <w:rFonts w:hint="eastAsia"/>
                <w:b/>
                <w:kern w:val="0"/>
                <w:sz w:val="21"/>
                <w:szCs w:val="21"/>
              </w:rPr>
              <w:t>固废</w:t>
            </w:r>
          </w:p>
          <w:p>
            <w:pPr>
              <w:widowControl/>
              <w:spacing w:beforeLines="0" w:afterLines="0" w:line="240" w:lineRule="auto"/>
              <w:ind w:firstLine="0" w:firstLineChars="0"/>
              <w:jc w:val="center"/>
              <w:rPr>
                <w:b/>
                <w:kern w:val="0"/>
                <w:sz w:val="21"/>
                <w:szCs w:val="21"/>
              </w:rPr>
            </w:pPr>
            <w:r>
              <w:rPr>
                <w:rFonts w:hint="eastAsia"/>
                <w:b/>
                <w:kern w:val="0"/>
                <w:sz w:val="21"/>
                <w:szCs w:val="21"/>
              </w:rPr>
              <w:t>名称</w:t>
            </w:r>
          </w:p>
        </w:tc>
        <w:tc>
          <w:tcPr>
            <w:tcW w:w="518" w:type="pct"/>
            <w:vAlign w:val="center"/>
          </w:tcPr>
          <w:p>
            <w:pPr>
              <w:widowControl/>
              <w:spacing w:beforeLines="0" w:afterLines="0" w:line="240" w:lineRule="auto"/>
              <w:ind w:firstLine="0" w:firstLineChars="0"/>
              <w:jc w:val="center"/>
              <w:rPr>
                <w:b/>
                <w:kern w:val="0"/>
                <w:sz w:val="21"/>
                <w:szCs w:val="21"/>
              </w:rPr>
            </w:pPr>
            <w:r>
              <w:rPr>
                <w:rFonts w:hint="eastAsia"/>
                <w:b/>
                <w:kern w:val="0"/>
                <w:sz w:val="21"/>
                <w:szCs w:val="21"/>
              </w:rPr>
              <w:t>固废类别</w:t>
            </w:r>
          </w:p>
        </w:tc>
        <w:tc>
          <w:tcPr>
            <w:tcW w:w="667" w:type="pct"/>
            <w:vAlign w:val="center"/>
          </w:tcPr>
          <w:p>
            <w:pPr>
              <w:widowControl/>
              <w:spacing w:beforeLines="0" w:afterLines="0" w:line="240" w:lineRule="auto"/>
              <w:ind w:firstLine="0" w:firstLineChars="0"/>
              <w:jc w:val="center"/>
              <w:rPr>
                <w:b/>
                <w:kern w:val="0"/>
                <w:sz w:val="21"/>
                <w:szCs w:val="21"/>
              </w:rPr>
            </w:pPr>
            <w:r>
              <w:rPr>
                <w:b/>
                <w:kern w:val="0"/>
                <w:sz w:val="21"/>
                <w:szCs w:val="21"/>
              </w:rPr>
              <w:t>产生量</w:t>
            </w:r>
          </w:p>
          <w:p>
            <w:pPr>
              <w:widowControl/>
              <w:spacing w:beforeLines="0" w:afterLines="0" w:line="240" w:lineRule="auto"/>
              <w:ind w:firstLine="0" w:firstLineChars="0"/>
              <w:jc w:val="center"/>
              <w:rPr>
                <w:b/>
                <w:kern w:val="0"/>
                <w:sz w:val="21"/>
                <w:szCs w:val="21"/>
              </w:rPr>
            </w:pPr>
            <w:r>
              <w:rPr>
                <w:b/>
                <w:kern w:val="0"/>
                <w:sz w:val="21"/>
                <w:szCs w:val="21"/>
              </w:rPr>
              <w:t>（t）</w:t>
            </w:r>
          </w:p>
        </w:tc>
        <w:tc>
          <w:tcPr>
            <w:tcW w:w="547" w:type="pct"/>
          </w:tcPr>
          <w:p>
            <w:pPr>
              <w:widowControl/>
              <w:spacing w:beforeLines="0" w:afterLines="0" w:line="240" w:lineRule="auto"/>
              <w:ind w:firstLine="0" w:firstLineChars="0"/>
              <w:jc w:val="center"/>
              <w:rPr>
                <w:b/>
                <w:kern w:val="0"/>
                <w:sz w:val="21"/>
                <w:szCs w:val="21"/>
              </w:rPr>
            </w:pPr>
            <w:r>
              <w:rPr>
                <w:rFonts w:hint="eastAsia"/>
                <w:b/>
                <w:kern w:val="0"/>
                <w:sz w:val="21"/>
                <w:szCs w:val="21"/>
              </w:rPr>
              <w:t>上年结余量（t）</w:t>
            </w:r>
          </w:p>
        </w:tc>
        <w:tc>
          <w:tcPr>
            <w:tcW w:w="547" w:type="pct"/>
            <w:vAlign w:val="center"/>
          </w:tcPr>
          <w:p>
            <w:pPr>
              <w:widowControl/>
              <w:spacing w:beforeLines="0" w:afterLines="0" w:line="240" w:lineRule="auto"/>
              <w:ind w:firstLine="0" w:firstLineChars="0"/>
              <w:jc w:val="center"/>
              <w:rPr>
                <w:b/>
                <w:kern w:val="0"/>
                <w:sz w:val="21"/>
                <w:szCs w:val="21"/>
              </w:rPr>
            </w:pPr>
            <w:r>
              <w:rPr>
                <w:b/>
                <w:kern w:val="0"/>
                <w:sz w:val="21"/>
                <w:szCs w:val="21"/>
              </w:rPr>
              <w:t>贮存（暂存）情况</w:t>
            </w:r>
          </w:p>
        </w:tc>
        <w:tc>
          <w:tcPr>
            <w:tcW w:w="640" w:type="pct"/>
            <w:vAlign w:val="center"/>
          </w:tcPr>
          <w:p>
            <w:pPr>
              <w:widowControl/>
              <w:spacing w:beforeLines="0" w:afterLines="0" w:line="240" w:lineRule="auto"/>
              <w:ind w:firstLine="0" w:firstLineChars="0"/>
              <w:jc w:val="center"/>
              <w:rPr>
                <w:b/>
                <w:kern w:val="0"/>
                <w:sz w:val="21"/>
                <w:szCs w:val="21"/>
              </w:rPr>
            </w:pPr>
            <w:r>
              <w:rPr>
                <w:b/>
                <w:kern w:val="0"/>
                <w:sz w:val="21"/>
                <w:szCs w:val="21"/>
              </w:rPr>
              <w:t>处理（处置）量（t）</w:t>
            </w:r>
          </w:p>
        </w:tc>
        <w:tc>
          <w:tcPr>
            <w:tcW w:w="888" w:type="pct"/>
            <w:vAlign w:val="center"/>
          </w:tcPr>
          <w:p>
            <w:pPr>
              <w:widowControl/>
              <w:spacing w:beforeLines="0" w:afterLines="0" w:line="240" w:lineRule="auto"/>
              <w:ind w:firstLine="0" w:firstLineChars="0"/>
              <w:jc w:val="center"/>
              <w:rPr>
                <w:b/>
                <w:kern w:val="0"/>
                <w:sz w:val="21"/>
                <w:szCs w:val="21"/>
              </w:rPr>
            </w:pPr>
            <w:r>
              <w:rPr>
                <w:b/>
                <w:kern w:val="0"/>
                <w:sz w:val="21"/>
                <w:szCs w:val="21"/>
              </w:rPr>
              <w:t>处理方式（及去向）</w:t>
            </w:r>
          </w:p>
        </w:tc>
        <w:tc>
          <w:tcPr>
            <w:tcW w:w="470" w:type="pct"/>
            <w:vAlign w:val="center"/>
          </w:tcPr>
          <w:p>
            <w:pPr>
              <w:widowControl/>
              <w:spacing w:beforeLines="0" w:afterLines="0" w:line="240" w:lineRule="auto"/>
              <w:ind w:firstLine="0" w:firstLineChars="0"/>
              <w:jc w:val="center"/>
              <w:rPr>
                <w:b/>
                <w:kern w:val="0"/>
                <w:sz w:val="21"/>
                <w:szCs w:val="21"/>
              </w:rPr>
            </w:pPr>
            <w:r>
              <w:rPr>
                <w:b/>
                <w:kern w:val="0"/>
                <w:sz w:val="21"/>
                <w:szCs w:val="21"/>
              </w:rPr>
              <w:t>处理率（%）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9"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1</w:t>
            </w:r>
          </w:p>
        </w:tc>
        <w:tc>
          <w:tcPr>
            <w:tcW w:w="445"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尾矿砂</w:t>
            </w:r>
          </w:p>
        </w:tc>
        <w:tc>
          <w:tcPr>
            <w:tcW w:w="51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一般工业固体废物</w:t>
            </w:r>
          </w:p>
        </w:tc>
        <w:tc>
          <w:tcPr>
            <w:tcW w:w="66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9852074.178</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64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9852074.178</w:t>
            </w:r>
          </w:p>
        </w:tc>
        <w:tc>
          <w:tcPr>
            <w:tcW w:w="88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尾矿库中堆置</w:t>
            </w:r>
          </w:p>
        </w:tc>
        <w:tc>
          <w:tcPr>
            <w:tcW w:w="47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9"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w:t>
            </w:r>
          </w:p>
        </w:tc>
        <w:tc>
          <w:tcPr>
            <w:tcW w:w="445"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采矿废石</w:t>
            </w:r>
          </w:p>
        </w:tc>
        <w:tc>
          <w:tcPr>
            <w:tcW w:w="51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一般工业固体废物</w:t>
            </w:r>
          </w:p>
        </w:tc>
        <w:tc>
          <w:tcPr>
            <w:tcW w:w="66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12861884.59</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64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12861884.59</w:t>
            </w:r>
          </w:p>
        </w:tc>
        <w:tc>
          <w:tcPr>
            <w:tcW w:w="88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排土场</w:t>
            </w:r>
          </w:p>
        </w:tc>
        <w:tc>
          <w:tcPr>
            <w:tcW w:w="47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9"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3</w:t>
            </w:r>
          </w:p>
        </w:tc>
        <w:tc>
          <w:tcPr>
            <w:tcW w:w="445"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废机油</w:t>
            </w:r>
          </w:p>
        </w:tc>
        <w:tc>
          <w:tcPr>
            <w:tcW w:w="51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危险</w:t>
            </w:r>
          </w:p>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废物</w:t>
            </w:r>
          </w:p>
        </w:tc>
        <w:tc>
          <w:tcPr>
            <w:tcW w:w="66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110.21</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20.13</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5.82</w:t>
            </w:r>
          </w:p>
        </w:tc>
        <w:tc>
          <w:tcPr>
            <w:tcW w:w="64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124.52</w:t>
            </w:r>
          </w:p>
        </w:tc>
        <w:tc>
          <w:tcPr>
            <w:tcW w:w="88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吉林市昆仑四通石油化工有限公司</w:t>
            </w:r>
          </w:p>
        </w:tc>
        <w:tc>
          <w:tcPr>
            <w:tcW w:w="47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95.5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9"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4</w:t>
            </w:r>
          </w:p>
        </w:tc>
        <w:tc>
          <w:tcPr>
            <w:tcW w:w="445"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废油桶</w:t>
            </w:r>
          </w:p>
        </w:tc>
        <w:tc>
          <w:tcPr>
            <w:tcW w:w="51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危险</w:t>
            </w:r>
          </w:p>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废物</w:t>
            </w:r>
          </w:p>
        </w:tc>
        <w:tc>
          <w:tcPr>
            <w:tcW w:w="66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0.846</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1.854</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0.612</w:t>
            </w:r>
          </w:p>
        </w:tc>
        <w:tc>
          <w:tcPr>
            <w:tcW w:w="64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2.088</w:t>
            </w:r>
          </w:p>
        </w:tc>
        <w:tc>
          <w:tcPr>
            <w:tcW w:w="88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长春一汽四环鸿祥实业有限公司</w:t>
            </w:r>
          </w:p>
        </w:tc>
        <w:tc>
          <w:tcPr>
            <w:tcW w:w="47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77.3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79"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w:t>
            </w:r>
          </w:p>
        </w:tc>
        <w:tc>
          <w:tcPr>
            <w:tcW w:w="445"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生活垃圾</w:t>
            </w:r>
          </w:p>
        </w:tc>
        <w:tc>
          <w:tcPr>
            <w:tcW w:w="51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一般固体废物</w:t>
            </w:r>
          </w:p>
        </w:tc>
        <w:tc>
          <w:tcPr>
            <w:tcW w:w="66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19.7</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547"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0</w:t>
            </w:r>
          </w:p>
        </w:tc>
        <w:tc>
          <w:tcPr>
            <w:tcW w:w="64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19.7</w:t>
            </w:r>
          </w:p>
        </w:tc>
        <w:tc>
          <w:tcPr>
            <w:tcW w:w="888"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定期送珲春市垃圾</w:t>
            </w:r>
            <w:r>
              <w:rPr>
                <w:rFonts w:hint="eastAsia" w:ascii="Times New Roman" w:hAnsi="Times New Roman" w:eastAsiaTheme="minorEastAsia"/>
                <w:sz w:val="21"/>
                <w:szCs w:val="21"/>
              </w:rPr>
              <w:t>处理厂处理</w:t>
            </w:r>
          </w:p>
        </w:tc>
        <w:tc>
          <w:tcPr>
            <w:tcW w:w="470" w:type="pct"/>
            <w:vAlign w:val="center"/>
          </w:tcPr>
          <w:p>
            <w:pPr>
              <w:pStyle w:val="16"/>
              <w:snapToGrid w:val="0"/>
              <w:spacing w:before="124" w:after="124"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100</w:t>
            </w:r>
          </w:p>
        </w:tc>
      </w:tr>
    </w:tbl>
    <w:p>
      <w:pPr>
        <w:pStyle w:val="3"/>
        <w:spacing w:before="124" w:after="124"/>
        <w:rPr>
          <w:color w:val="auto"/>
        </w:rPr>
      </w:pPr>
      <w:bookmarkStart w:id="28" w:name="_Toc66281441"/>
      <w:r>
        <w:rPr>
          <w:rFonts w:hint="eastAsia"/>
          <w:color w:val="auto"/>
        </w:rPr>
        <w:t>3.3 企业自行监测方案</w:t>
      </w:r>
      <w:bookmarkEnd w:id="25"/>
      <w:bookmarkEnd w:id="26"/>
      <w:bookmarkEnd w:id="28"/>
    </w:p>
    <w:p>
      <w:pPr>
        <w:spacing w:before="93" w:beforeLines="30" w:after="93" w:afterLines="30"/>
        <w:ind w:firstLine="480"/>
        <w:rPr>
          <w:rFonts w:eastAsia="仿宋_GB2312"/>
          <w:sz w:val="24"/>
        </w:rPr>
      </w:pPr>
      <w:r>
        <w:rPr>
          <w:rFonts w:hint="eastAsia" w:eastAsia="仿宋_GB2312"/>
          <w:sz w:val="24"/>
        </w:rPr>
        <w:t>曙光金铜矿</w:t>
      </w:r>
      <w:r>
        <w:rPr>
          <w:rFonts w:eastAsia="仿宋_GB2312"/>
          <w:sz w:val="24"/>
        </w:rPr>
        <w:t>每年制定详细的</w:t>
      </w:r>
      <w:r>
        <w:rPr>
          <w:rFonts w:hint="eastAsia" w:eastAsia="仿宋_GB2312"/>
          <w:sz w:val="24"/>
        </w:rPr>
        <w:t>自行</w:t>
      </w:r>
      <w:r>
        <w:rPr>
          <w:rFonts w:eastAsia="仿宋_GB2312"/>
          <w:sz w:val="24"/>
        </w:rPr>
        <w:t>监测计划，由</w:t>
      </w:r>
      <w:r>
        <w:rPr>
          <w:rFonts w:hint="eastAsia" w:eastAsia="仿宋_GB2312"/>
          <w:sz w:val="24"/>
        </w:rPr>
        <w:t>公司委托监测单位对废水、废气</w:t>
      </w:r>
      <w:r>
        <w:rPr>
          <w:rFonts w:eastAsia="仿宋_GB2312"/>
          <w:sz w:val="24"/>
        </w:rPr>
        <w:t>污染</w:t>
      </w:r>
      <w:r>
        <w:rPr>
          <w:rFonts w:hint="eastAsia" w:eastAsia="仿宋_GB2312"/>
          <w:sz w:val="24"/>
        </w:rPr>
        <w:t>源和环境空气、地下水、地表水等开展</w:t>
      </w:r>
      <w:r>
        <w:rPr>
          <w:rFonts w:eastAsia="仿宋_GB2312"/>
          <w:sz w:val="24"/>
        </w:rPr>
        <w:t>监测，监测</w:t>
      </w:r>
      <w:r>
        <w:rPr>
          <w:rFonts w:hint="eastAsia" w:eastAsia="仿宋_GB2312"/>
          <w:sz w:val="24"/>
        </w:rPr>
        <w:t>方案</w:t>
      </w:r>
      <w:r>
        <w:rPr>
          <w:rFonts w:eastAsia="仿宋_GB2312"/>
          <w:sz w:val="24"/>
        </w:rPr>
        <w:t>执行情况见表3</w:t>
      </w:r>
      <w:r>
        <w:rPr>
          <w:rFonts w:hint="eastAsia" w:eastAsia="仿宋_GB2312"/>
          <w:sz w:val="24"/>
        </w:rPr>
        <w:t>-4</w:t>
      </w:r>
      <w:r>
        <w:rPr>
          <w:rFonts w:eastAsia="仿宋_GB2312"/>
          <w:sz w:val="24"/>
        </w:rPr>
        <w:t>。</w:t>
      </w:r>
    </w:p>
    <w:p>
      <w:pPr>
        <w:pStyle w:val="10"/>
        <w:spacing w:beforeLines="0" w:line="240" w:lineRule="auto"/>
      </w:pPr>
      <w:r>
        <w:rPr>
          <w:rFonts w:hint="eastAsia"/>
        </w:rPr>
        <w:t>表3-</w:t>
      </w:r>
      <w:r>
        <w:t>4</w:t>
      </w:r>
      <w:r>
        <w:rPr>
          <w:rFonts w:hint="eastAsia"/>
        </w:rPr>
        <w:t xml:space="preserve">  企业自行监测方案</w:t>
      </w:r>
    </w:p>
    <w:tbl>
      <w:tblPr>
        <w:tblStyle w:val="11"/>
        <w:tblW w:w="852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55"/>
        <w:gridCol w:w="1403"/>
        <w:gridCol w:w="1428"/>
        <w:gridCol w:w="1725"/>
        <w:gridCol w:w="1985"/>
        <w:gridCol w:w="13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 w:hRule="atLeast"/>
          <w:tblHeader/>
          <w:jc w:val="center"/>
        </w:trPr>
        <w:tc>
          <w:tcPr>
            <w:tcW w:w="655" w:type="dxa"/>
            <w:vAlign w:val="center"/>
          </w:tcPr>
          <w:p>
            <w:pPr>
              <w:adjustRightInd w:val="0"/>
              <w:snapToGrid w:val="0"/>
              <w:spacing w:beforeLines="0" w:afterLines="0" w:line="240" w:lineRule="auto"/>
              <w:ind w:firstLine="0" w:firstLineChars="0"/>
              <w:jc w:val="center"/>
              <w:rPr>
                <w:b/>
                <w:sz w:val="21"/>
                <w:szCs w:val="21"/>
              </w:rPr>
            </w:pPr>
            <w:r>
              <w:rPr>
                <w:b/>
                <w:sz w:val="21"/>
                <w:szCs w:val="21"/>
              </w:rPr>
              <w:t>项目</w:t>
            </w:r>
          </w:p>
        </w:tc>
        <w:tc>
          <w:tcPr>
            <w:tcW w:w="1403" w:type="dxa"/>
            <w:vAlign w:val="center"/>
          </w:tcPr>
          <w:p>
            <w:pPr>
              <w:adjustRightInd w:val="0"/>
              <w:snapToGrid w:val="0"/>
              <w:spacing w:beforeLines="0" w:afterLines="0" w:line="240" w:lineRule="auto"/>
              <w:ind w:firstLine="0" w:firstLineChars="0"/>
              <w:jc w:val="center"/>
              <w:rPr>
                <w:b/>
                <w:sz w:val="21"/>
                <w:szCs w:val="21"/>
              </w:rPr>
            </w:pPr>
            <w:r>
              <w:rPr>
                <w:b/>
                <w:sz w:val="21"/>
                <w:szCs w:val="21"/>
              </w:rPr>
              <w:t>监测点位</w:t>
            </w:r>
          </w:p>
        </w:tc>
        <w:tc>
          <w:tcPr>
            <w:tcW w:w="1428" w:type="dxa"/>
            <w:vAlign w:val="center"/>
          </w:tcPr>
          <w:p>
            <w:pPr>
              <w:adjustRightInd w:val="0"/>
              <w:snapToGrid w:val="0"/>
              <w:spacing w:beforeLines="0" w:afterLines="0" w:line="240" w:lineRule="auto"/>
              <w:ind w:firstLine="0" w:firstLineChars="0"/>
              <w:jc w:val="center"/>
              <w:rPr>
                <w:b/>
                <w:sz w:val="21"/>
                <w:szCs w:val="21"/>
              </w:rPr>
            </w:pPr>
            <w:r>
              <w:rPr>
                <w:b/>
                <w:sz w:val="21"/>
                <w:szCs w:val="21"/>
              </w:rPr>
              <w:t>监测项目</w:t>
            </w:r>
          </w:p>
        </w:tc>
        <w:tc>
          <w:tcPr>
            <w:tcW w:w="1725" w:type="dxa"/>
            <w:vAlign w:val="center"/>
          </w:tcPr>
          <w:p>
            <w:pPr>
              <w:adjustRightInd w:val="0"/>
              <w:snapToGrid w:val="0"/>
              <w:spacing w:beforeLines="0" w:afterLines="0" w:line="240" w:lineRule="auto"/>
              <w:ind w:firstLine="0" w:firstLineChars="0"/>
              <w:jc w:val="center"/>
              <w:rPr>
                <w:b/>
                <w:sz w:val="21"/>
                <w:szCs w:val="21"/>
              </w:rPr>
            </w:pPr>
            <w:r>
              <w:rPr>
                <w:b/>
                <w:sz w:val="21"/>
                <w:szCs w:val="21"/>
              </w:rPr>
              <w:t>监测频率</w:t>
            </w:r>
          </w:p>
        </w:tc>
        <w:tc>
          <w:tcPr>
            <w:tcW w:w="1985" w:type="dxa"/>
            <w:vAlign w:val="center"/>
          </w:tcPr>
          <w:p>
            <w:pPr>
              <w:adjustRightInd w:val="0"/>
              <w:snapToGrid w:val="0"/>
              <w:spacing w:beforeLines="0" w:afterLines="0" w:line="240" w:lineRule="auto"/>
              <w:ind w:firstLine="0" w:firstLineChars="0"/>
              <w:jc w:val="center"/>
              <w:rPr>
                <w:b/>
                <w:sz w:val="21"/>
                <w:szCs w:val="21"/>
              </w:rPr>
            </w:pPr>
            <w:r>
              <w:rPr>
                <w:rFonts w:hint="eastAsia"/>
                <w:b/>
                <w:sz w:val="21"/>
                <w:szCs w:val="21"/>
              </w:rPr>
              <w:t>监测方法</w:t>
            </w:r>
          </w:p>
        </w:tc>
        <w:tc>
          <w:tcPr>
            <w:tcW w:w="1326" w:type="dxa"/>
            <w:vAlign w:val="center"/>
          </w:tcPr>
          <w:p>
            <w:pPr>
              <w:adjustRightInd w:val="0"/>
              <w:snapToGrid w:val="0"/>
              <w:spacing w:beforeLines="0" w:afterLines="0" w:line="240" w:lineRule="auto"/>
              <w:ind w:firstLine="0" w:firstLineChars="0"/>
              <w:jc w:val="center"/>
              <w:rPr>
                <w:b/>
                <w:sz w:val="21"/>
                <w:szCs w:val="21"/>
              </w:rPr>
            </w:pPr>
            <w:r>
              <w:rPr>
                <w:rFonts w:hint="eastAsia"/>
                <w:b/>
                <w:sz w:val="21"/>
                <w:szCs w:val="21"/>
              </w:rPr>
              <w:t>是否开展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5" w:hRule="atLeast"/>
          <w:jc w:val="center"/>
        </w:trPr>
        <w:tc>
          <w:tcPr>
            <w:tcW w:w="655" w:type="dxa"/>
            <w:vMerge w:val="restart"/>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有组织废气</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锅炉烟气</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烟尘、SO</w:t>
            </w:r>
            <w:r>
              <w:rPr>
                <w:rFonts w:hint="eastAsia"/>
                <w:sz w:val="21"/>
                <w:szCs w:val="21"/>
                <w:vertAlign w:val="subscript"/>
              </w:rPr>
              <w:t>2</w:t>
            </w:r>
            <w:r>
              <w:rPr>
                <w:rFonts w:hint="eastAsia"/>
                <w:sz w:val="21"/>
                <w:szCs w:val="21"/>
              </w:rPr>
              <w:t>、NO</w:t>
            </w:r>
            <w:r>
              <w:rPr>
                <w:rFonts w:hint="eastAsia"/>
                <w:sz w:val="21"/>
                <w:szCs w:val="21"/>
                <w:vertAlign w:val="subscript"/>
              </w:rPr>
              <w:t>X</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每年2次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GB/T16157-1996</w:t>
            </w:r>
          </w:p>
          <w:p>
            <w:pPr>
              <w:adjustRightInd w:val="0"/>
              <w:snapToGrid w:val="0"/>
              <w:spacing w:beforeLines="0" w:afterLines="0" w:line="240" w:lineRule="auto"/>
              <w:ind w:firstLine="0" w:firstLineChars="0"/>
              <w:jc w:val="center"/>
              <w:rPr>
                <w:sz w:val="21"/>
                <w:szCs w:val="21"/>
              </w:rPr>
            </w:pPr>
            <w:r>
              <w:rPr>
                <w:rFonts w:hint="eastAsia"/>
                <w:sz w:val="21"/>
                <w:szCs w:val="21"/>
              </w:rPr>
              <w:t>HJ57-2017</w:t>
            </w:r>
          </w:p>
          <w:p>
            <w:pPr>
              <w:adjustRightInd w:val="0"/>
              <w:snapToGrid w:val="0"/>
              <w:spacing w:beforeLines="0" w:afterLines="0" w:line="240" w:lineRule="auto"/>
              <w:ind w:firstLine="0" w:firstLineChars="0"/>
              <w:jc w:val="center"/>
              <w:rPr>
                <w:sz w:val="21"/>
                <w:szCs w:val="21"/>
              </w:rPr>
            </w:pPr>
            <w:r>
              <w:rPr>
                <w:rFonts w:hint="eastAsia"/>
                <w:sz w:val="21"/>
                <w:szCs w:val="21"/>
              </w:rPr>
              <w:t>HJ693-2014</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3、10月开展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63" w:hRule="atLeast"/>
          <w:jc w:val="center"/>
        </w:trPr>
        <w:tc>
          <w:tcPr>
            <w:tcW w:w="655" w:type="dxa"/>
            <w:vMerge w:val="continue"/>
            <w:vAlign w:val="center"/>
          </w:tcPr>
          <w:p>
            <w:pPr>
              <w:adjustRightInd w:val="0"/>
              <w:snapToGrid w:val="0"/>
              <w:spacing w:beforeLines="0" w:afterLines="0" w:line="240" w:lineRule="auto"/>
              <w:ind w:firstLine="0" w:firstLineChars="0"/>
              <w:jc w:val="center"/>
              <w:rPr>
                <w:b/>
                <w:sz w:val="21"/>
                <w:szCs w:val="21"/>
              </w:rPr>
            </w:pP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破碎、筛分环节除尘器</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粉尘</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每季度1次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GB/T16157-1996</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3、6、9、10月开展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Merge w:val="restart"/>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废水</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选矿厂回水池</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p</w:t>
            </w:r>
            <w:r>
              <w:rPr>
                <w:sz w:val="21"/>
                <w:szCs w:val="21"/>
              </w:rPr>
              <w:t>H</w:t>
            </w:r>
            <w:r>
              <w:rPr>
                <w:rFonts w:hint="eastAsia"/>
                <w:sz w:val="21"/>
                <w:szCs w:val="21"/>
              </w:rPr>
              <w:t>、C</w:t>
            </w:r>
            <w:r>
              <w:rPr>
                <w:sz w:val="21"/>
                <w:szCs w:val="21"/>
              </w:rPr>
              <w:t>OD</w:t>
            </w:r>
            <w:r>
              <w:rPr>
                <w:rFonts w:hint="eastAsia"/>
                <w:sz w:val="21"/>
                <w:szCs w:val="21"/>
                <w:vertAlign w:val="subscript"/>
              </w:rPr>
              <w:t>C</w:t>
            </w:r>
            <w:r>
              <w:rPr>
                <w:sz w:val="21"/>
                <w:szCs w:val="21"/>
                <w:vertAlign w:val="subscript"/>
              </w:rPr>
              <w:t>r</w:t>
            </w:r>
            <w:r>
              <w:rPr>
                <w:rFonts w:hint="eastAsia"/>
                <w:sz w:val="21"/>
                <w:szCs w:val="21"/>
              </w:rPr>
              <w:t>、S</w:t>
            </w:r>
            <w:r>
              <w:rPr>
                <w:sz w:val="21"/>
                <w:szCs w:val="21"/>
              </w:rPr>
              <w:t>S</w:t>
            </w:r>
            <w:r>
              <w:rPr>
                <w:rFonts w:hint="eastAsia"/>
                <w:sz w:val="21"/>
                <w:szCs w:val="21"/>
              </w:rPr>
              <w:t>、砷、汞、六价铬、铅、镉、铬</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每月1次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GB/T6920-1986</w:t>
            </w:r>
          </w:p>
          <w:p>
            <w:pPr>
              <w:adjustRightInd w:val="0"/>
              <w:snapToGrid w:val="0"/>
              <w:spacing w:beforeLines="0" w:afterLines="0" w:line="240" w:lineRule="auto"/>
              <w:ind w:firstLine="0" w:firstLineChars="0"/>
              <w:jc w:val="center"/>
              <w:rPr>
                <w:sz w:val="21"/>
                <w:szCs w:val="21"/>
              </w:rPr>
            </w:pPr>
            <w:r>
              <w:rPr>
                <w:rFonts w:hint="eastAsia"/>
                <w:sz w:val="21"/>
                <w:szCs w:val="21"/>
              </w:rPr>
              <w:t>HJ828-2017</w:t>
            </w:r>
          </w:p>
          <w:p>
            <w:pPr>
              <w:adjustRightInd w:val="0"/>
              <w:snapToGrid w:val="0"/>
              <w:spacing w:beforeLines="0" w:afterLines="0" w:line="240" w:lineRule="auto"/>
              <w:ind w:firstLine="0" w:firstLineChars="0"/>
              <w:jc w:val="center"/>
              <w:rPr>
                <w:sz w:val="21"/>
                <w:szCs w:val="21"/>
              </w:rPr>
            </w:pPr>
            <w:r>
              <w:rPr>
                <w:rFonts w:hint="eastAsia"/>
                <w:sz w:val="21"/>
                <w:szCs w:val="21"/>
              </w:rPr>
              <w:t>GB11901-89</w:t>
            </w:r>
          </w:p>
          <w:p>
            <w:pPr>
              <w:adjustRightInd w:val="0"/>
              <w:snapToGrid w:val="0"/>
              <w:spacing w:beforeLines="0" w:afterLines="0" w:line="240" w:lineRule="auto"/>
              <w:ind w:firstLine="0" w:firstLineChars="0"/>
              <w:jc w:val="center"/>
              <w:rPr>
                <w:sz w:val="21"/>
                <w:szCs w:val="21"/>
              </w:rPr>
            </w:pPr>
            <w:r>
              <w:rPr>
                <w:rFonts w:hint="eastAsia"/>
                <w:sz w:val="21"/>
                <w:szCs w:val="21"/>
              </w:rPr>
              <w:t>HJ694-2014</w:t>
            </w:r>
          </w:p>
          <w:p>
            <w:pPr>
              <w:adjustRightInd w:val="0"/>
              <w:snapToGrid w:val="0"/>
              <w:spacing w:beforeLines="0" w:afterLines="0" w:line="240" w:lineRule="auto"/>
              <w:ind w:firstLine="0" w:firstLineChars="0"/>
              <w:jc w:val="center"/>
              <w:rPr>
                <w:sz w:val="21"/>
                <w:szCs w:val="21"/>
              </w:rPr>
            </w:pPr>
            <w:r>
              <w:rPr>
                <w:rFonts w:hint="eastAsia"/>
                <w:sz w:val="21"/>
                <w:szCs w:val="21"/>
              </w:rPr>
              <w:t>GB7467-87</w:t>
            </w:r>
          </w:p>
          <w:p>
            <w:pPr>
              <w:adjustRightInd w:val="0"/>
              <w:snapToGrid w:val="0"/>
              <w:spacing w:beforeLines="0" w:afterLines="0" w:line="240" w:lineRule="auto"/>
              <w:ind w:firstLine="0" w:firstLineChars="0"/>
              <w:jc w:val="center"/>
              <w:rPr>
                <w:sz w:val="21"/>
                <w:szCs w:val="21"/>
              </w:rPr>
            </w:pPr>
            <w:r>
              <w:rPr>
                <w:rFonts w:hint="eastAsia"/>
                <w:sz w:val="21"/>
                <w:szCs w:val="21"/>
              </w:rPr>
              <w:t>GB/T7475-1987</w:t>
            </w:r>
          </w:p>
          <w:p>
            <w:pPr>
              <w:adjustRightInd w:val="0"/>
              <w:snapToGrid w:val="0"/>
              <w:spacing w:beforeLines="0" w:afterLines="0" w:line="240" w:lineRule="auto"/>
              <w:ind w:firstLine="0" w:firstLineChars="0"/>
              <w:jc w:val="center"/>
              <w:rPr>
                <w:sz w:val="21"/>
                <w:szCs w:val="21"/>
              </w:rPr>
            </w:pPr>
            <w:r>
              <w:rPr>
                <w:rFonts w:hint="eastAsia"/>
                <w:sz w:val="21"/>
                <w:szCs w:val="21"/>
              </w:rPr>
              <w:t>HJ757-2015</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每月已开展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Merge w:val="continue"/>
            <w:vAlign w:val="center"/>
          </w:tcPr>
          <w:p>
            <w:pPr>
              <w:adjustRightInd w:val="0"/>
              <w:snapToGrid w:val="0"/>
              <w:spacing w:beforeLines="0" w:afterLines="0" w:line="240" w:lineRule="auto"/>
              <w:ind w:firstLine="0" w:firstLineChars="0"/>
              <w:jc w:val="center"/>
              <w:rPr>
                <w:sz w:val="21"/>
                <w:szCs w:val="21"/>
              </w:rPr>
            </w:pP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排土场、露天采坑淋溶水</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p</w:t>
            </w:r>
            <w:r>
              <w:rPr>
                <w:sz w:val="21"/>
                <w:szCs w:val="21"/>
              </w:rPr>
              <w:t>H</w:t>
            </w:r>
            <w:r>
              <w:rPr>
                <w:rFonts w:hint="eastAsia"/>
                <w:sz w:val="21"/>
                <w:szCs w:val="21"/>
              </w:rPr>
              <w:t>、C</w:t>
            </w:r>
            <w:r>
              <w:rPr>
                <w:sz w:val="21"/>
                <w:szCs w:val="21"/>
              </w:rPr>
              <w:t>OD</w:t>
            </w:r>
            <w:r>
              <w:rPr>
                <w:rFonts w:hint="eastAsia"/>
                <w:sz w:val="21"/>
                <w:szCs w:val="21"/>
                <w:vertAlign w:val="subscript"/>
              </w:rPr>
              <w:t>C</w:t>
            </w:r>
            <w:r>
              <w:rPr>
                <w:sz w:val="21"/>
                <w:szCs w:val="21"/>
                <w:vertAlign w:val="subscript"/>
              </w:rPr>
              <w:t>r</w:t>
            </w:r>
            <w:r>
              <w:rPr>
                <w:rFonts w:hint="eastAsia"/>
                <w:sz w:val="21"/>
                <w:szCs w:val="21"/>
              </w:rPr>
              <w:t>、S</w:t>
            </w:r>
            <w:r>
              <w:rPr>
                <w:sz w:val="21"/>
                <w:szCs w:val="21"/>
              </w:rPr>
              <w:t>S</w:t>
            </w:r>
            <w:r>
              <w:rPr>
                <w:rFonts w:hint="eastAsia"/>
                <w:sz w:val="21"/>
                <w:szCs w:val="21"/>
              </w:rPr>
              <w:t>、砷、汞、六价铬</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每年2次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GB/T6920-1986</w:t>
            </w:r>
          </w:p>
          <w:p>
            <w:pPr>
              <w:adjustRightInd w:val="0"/>
              <w:snapToGrid w:val="0"/>
              <w:spacing w:beforeLines="0" w:afterLines="0" w:line="240" w:lineRule="auto"/>
              <w:ind w:firstLine="0" w:firstLineChars="0"/>
              <w:jc w:val="center"/>
              <w:rPr>
                <w:sz w:val="21"/>
                <w:szCs w:val="21"/>
              </w:rPr>
            </w:pPr>
            <w:r>
              <w:rPr>
                <w:rFonts w:hint="eastAsia"/>
                <w:sz w:val="21"/>
                <w:szCs w:val="21"/>
              </w:rPr>
              <w:t>HJ828-2017</w:t>
            </w:r>
          </w:p>
          <w:p>
            <w:pPr>
              <w:adjustRightInd w:val="0"/>
              <w:snapToGrid w:val="0"/>
              <w:spacing w:beforeLines="0" w:afterLines="0" w:line="240" w:lineRule="auto"/>
              <w:ind w:firstLine="0" w:firstLineChars="0"/>
              <w:jc w:val="center"/>
              <w:rPr>
                <w:sz w:val="21"/>
                <w:szCs w:val="21"/>
              </w:rPr>
            </w:pPr>
            <w:r>
              <w:rPr>
                <w:rFonts w:hint="eastAsia"/>
                <w:sz w:val="21"/>
                <w:szCs w:val="21"/>
              </w:rPr>
              <w:t>GB11901-89</w:t>
            </w:r>
          </w:p>
          <w:p>
            <w:pPr>
              <w:adjustRightInd w:val="0"/>
              <w:snapToGrid w:val="0"/>
              <w:spacing w:beforeLines="0" w:afterLines="0" w:line="240" w:lineRule="auto"/>
              <w:ind w:firstLine="0" w:firstLineChars="0"/>
              <w:jc w:val="center"/>
              <w:rPr>
                <w:sz w:val="21"/>
                <w:szCs w:val="21"/>
              </w:rPr>
            </w:pPr>
            <w:r>
              <w:rPr>
                <w:rFonts w:hint="eastAsia"/>
                <w:sz w:val="21"/>
                <w:szCs w:val="21"/>
              </w:rPr>
              <w:t>HJ694-2014</w:t>
            </w:r>
          </w:p>
          <w:p>
            <w:pPr>
              <w:adjustRightInd w:val="0"/>
              <w:snapToGrid w:val="0"/>
              <w:spacing w:beforeLines="0" w:afterLines="0" w:line="240" w:lineRule="auto"/>
              <w:ind w:firstLine="0" w:firstLineChars="0"/>
              <w:jc w:val="center"/>
              <w:rPr>
                <w:sz w:val="21"/>
                <w:szCs w:val="21"/>
              </w:rPr>
            </w:pPr>
            <w:r>
              <w:rPr>
                <w:rFonts w:hint="eastAsia"/>
                <w:sz w:val="21"/>
                <w:szCs w:val="21"/>
              </w:rPr>
              <w:t>GB7467-87</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6、7月开展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噪声</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厂界四周</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等效A声级</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每季度1次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GB12348-2008</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6、9、10月开展（受疫情影响，一季度未开展）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声环境</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生活区及办公区、北侧厂界外敏感点</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等效A声级</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每季度1次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GB3096-2008</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6、9、10月开展（受疫情影响，一季度未开展）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地表水</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矿区上游0.5km处、矿区下游、三期库下游、香房河与清沟河、清沟河至春化0.5km</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p</w:t>
            </w:r>
            <w:r>
              <w:rPr>
                <w:sz w:val="21"/>
                <w:szCs w:val="21"/>
              </w:rPr>
              <w:t>H</w:t>
            </w:r>
            <w:r>
              <w:rPr>
                <w:rFonts w:hint="eastAsia"/>
                <w:sz w:val="21"/>
                <w:szCs w:val="21"/>
              </w:rPr>
              <w:t>、C</w:t>
            </w:r>
            <w:r>
              <w:rPr>
                <w:sz w:val="21"/>
                <w:szCs w:val="21"/>
              </w:rPr>
              <w:t>OD</w:t>
            </w:r>
            <w:r>
              <w:rPr>
                <w:rFonts w:hint="eastAsia"/>
                <w:sz w:val="21"/>
                <w:szCs w:val="21"/>
                <w:vertAlign w:val="subscript"/>
              </w:rPr>
              <w:t>C</w:t>
            </w:r>
            <w:r>
              <w:rPr>
                <w:sz w:val="21"/>
                <w:szCs w:val="21"/>
                <w:vertAlign w:val="subscript"/>
              </w:rPr>
              <w:t>r</w:t>
            </w:r>
            <w:r>
              <w:rPr>
                <w:rFonts w:hint="eastAsia"/>
                <w:sz w:val="21"/>
                <w:szCs w:val="21"/>
              </w:rPr>
              <w:t>、S</w:t>
            </w:r>
            <w:r>
              <w:rPr>
                <w:sz w:val="21"/>
                <w:szCs w:val="21"/>
              </w:rPr>
              <w:t>S</w:t>
            </w:r>
            <w:r>
              <w:rPr>
                <w:rFonts w:hint="eastAsia"/>
                <w:sz w:val="21"/>
                <w:szCs w:val="21"/>
              </w:rPr>
              <w:t>、氨氮、砷、汞、六价铬、铜、硫化物</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每季度1次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GB/T6920-1986</w:t>
            </w:r>
          </w:p>
          <w:p>
            <w:pPr>
              <w:adjustRightInd w:val="0"/>
              <w:snapToGrid w:val="0"/>
              <w:spacing w:beforeLines="0" w:afterLines="0" w:line="240" w:lineRule="auto"/>
              <w:ind w:firstLine="0" w:firstLineChars="0"/>
              <w:jc w:val="center"/>
              <w:rPr>
                <w:sz w:val="21"/>
                <w:szCs w:val="21"/>
              </w:rPr>
            </w:pPr>
            <w:r>
              <w:rPr>
                <w:rFonts w:hint="eastAsia"/>
                <w:sz w:val="21"/>
                <w:szCs w:val="21"/>
              </w:rPr>
              <w:t>HJ828-2017</w:t>
            </w:r>
          </w:p>
          <w:p>
            <w:pPr>
              <w:adjustRightInd w:val="0"/>
              <w:snapToGrid w:val="0"/>
              <w:spacing w:beforeLines="0" w:afterLines="0" w:line="240" w:lineRule="auto"/>
              <w:ind w:firstLine="0" w:firstLineChars="0"/>
              <w:jc w:val="center"/>
              <w:rPr>
                <w:sz w:val="21"/>
                <w:szCs w:val="21"/>
              </w:rPr>
            </w:pPr>
            <w:r>
              <w:rPr>
                <w:rFonts w:hint="eastAsia"/>
                <w:sz w:val="21"/>
                <w:szCs w:val="21"/>
              </w:rPr>
              <w:t>GB11901-89</w:t>
            </w:r>
          </w:p>
          <w:p>
            <w:pPr>
              <w:adjustRightInd w:val="0"/>
              <w:snapToGrid w:val="0"/>
              <w:spacing w:beforeLines="0" w:afterLines="0" w:line="240" w:lineRule="auto"/>
              <w:ind w:firstLine="0" w:firstLineChars="0"/>
              <w:jc w:val="center"/>
              <w:rPr>
                <w:sz w:val="21"/>
                <w:szCs w:val="21"/>
              </w:rPr>
            </w:pPr>
            <w:r>
              <w:rPr>
                <w:rFonts w:hint="eastAsia"/>
                <w:sz w:val="21"/>
                <w:szCs w:val="21"/>
              </w:rPr>
              <w:t>HJ535-2009</w:t>
            </w:r>
          </w:p>
          <w:p>
            <w:pPr>
              <w:adjustRightInd w:val="0"/>
              <w:snapToGrid w:val="0"/>
              <w:spacing w:beforeLines="0" w:afterLines="0" w:line="240" w:lineRule="auto"/>
              <w:ind w:firstLine="0" w:firstLineChars="0"/>
              <w:jc w:val="center"/>
              <w:rPr>
                <w:sz w:val="21"/>
                <w:szCs w:val="21"/>
              </w:rPr>
            </w:pPr>
            <w:r>
              <w:rPr>
                <w:rFonts w:hint="eastAsia"/>
                <w:sz w:val="21"/>
                <w:szCs w:val="21"/>
              </w:rPr>
              <w:t>HJ694-2014</w:t>
            </w:r>
          </w:p>
          <w:p>
            <w:pPr>
              <w:adjustRightInd w:val="0"/>
              <w:snapToGrid w:val="0"/>
              <w:spacing w:beforeLines="0" w:afterLines="0" w:line="240" w:lineRule="auto"/>
              <w:ind w:firstLine="0" w:firstLineChars="0"/>
              <w:jc w:val="center"/>
              <w:rPr>
                <w:sz w:val="21"/>
                <w:szCs w:val="21"/>
              </w:rPr>
            </w:pPr>
            <w:r>
              <w:rPr>
                <w:rFonts w:hint="eastAsia"/>
                <w:sz w:val="21"/>
                <w:szCs w:val="21"/>
              </w:rPr>
              <w:t>GB7467-87</w:t>
            </w:r>
          </w:p>
          <w:p>
            <w:pPr>
              <w:adjustRightInd w:val="0"/>
              <w:snapToGrid w:val="0"/>
              <w:spacing w:beforeLines="0" w:afterLines="0" w:line="240" w:lineRule="auto"/>
              <w:ind w:firstLine="0" w:firstLineChars="0"/>
              <w:jc w:val="center"/>
              <w:rPr>
                <w:sz w:val="21"/>
                <w:szCs w:val="21"/>
              </w:rPr>
            </w:pPr>
            <w:r>
              <w:rPr>
                <w:rFonts w:hint="eastAsia"/>
                <w:sz w:val="21"/>
                <w:szCs w:val="21"/>
              </w:rPr>
              <w:t>GB/T7475-1987</w:t>
            </w:r>
          </w:p>
          <w:p>
            <w:pPr>
              <w:adjustRightInd w:val="0"/>
              <w:snapToGrid w:val="0"/>
              <w:spacing w:beforeLines="0" w:afterLines="0" w:line="240" w:lineRule="auto"/>
              <w:ind w:firstLine="0" w:firstLineChars="0"/>
              <w:jc w:val="center"/>
              <w:rPr>
                <w:sz w:val="21"/>
                <w:szCs w:val="21"/>
              </w:rPr>
            </w:pPr>
            <w:r>
              <w:rPr>
                <w:rFonts w:hint="eastAsia"/>
                <w:sz w:val="21"/>
                <w:szCs w:val="21"/>
              </w:rPr>
              <w:t>GB/T16489-1996</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3、6、9、10月开展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地下水</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二期库对照井、二期库监测井、二期库扩散井、三期库对照井</w:t>
            </w:r>
          </w:p>
          <w:p>
            <w:pPr>
              <w:adjustRightInd w:val="0"/>
              <w:snapToGrid w:val="0"/>
              <w:spacing w:beforeLines="0" w:afterLines="0" w:line="240" w:lineRule="auto"/>
              <w:ind w:firstLine="0" w:firstLineChars="0"/>
              <w:jc w:val="center"/>
              <w:rPr>
                <w:sz w:val="21"/>
                <w:szCs w:val="21"/>
              </w:rPr>
            </w:pPr>
            <w:r>
              <w:rPr>
                <w:rFonts w:hint="eastAsia"/>
                <w:sz w:val="21"/>
                <w:szCs w:val="21"/>
              </w:rPr>
              <w:t>三期库监测井、三期库扩散井</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pH、高锰酸盐指数、氨氮、砷、汞、六价铬、镉、铅、锌、镍、铜、挥发酚</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丰平枯各一次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GB/T6920-1986</w:t>
            </w:r>
          </w:p>
          <w:p>
            <w:pPr>
              <w:adjustRightInd w:val="0"/>
              <w:snapToGrid w:val="0"/>
              <w:spacing w:beforeLines="0" w:afterLines="0" w:line="240" w:lineRule="auto"/>
              <w:ind w:firstLine="0" w:firstLineChars="0"/>
              <w:jc w:val="center"/>
              <w:rPr>
                <w:sz w:val="21"/>
                <w:szCs w:val="21"/>
              </w:rPr>
            </w:pPr>
            <w:r>
              <w:rPr>
                <w:rFonts w:hint="eastAsia"/>
                <w:sz w:val="21"/>
                <w:szCs w:val="21"/>
              </w:rPr>
              <w:t>HJ535-2009</w:t>
            </w:r>
          </w:p>
          <w:p>
            <w:pPr>
              <w:adjustRightInd w:val="0"/>
              <w:snapToGrid w:val="0"/>
              <w:spacing w:beforeLines="0" w:afterLines="0" w:line="240" w:lineRule="auto"/>
              <w:ind w:firstLine="0" w:firstLineChars="0"/>
              <w:jc w:val="center"/>
              <w:rPr>
                <w:sz w:val="21"/>
                <w:szCs w:val="21"/>
              </w:rPr>
            </w:pPr>
            <w:r>
              <w:rPr>
                <w:rFonts w:hint="eastAsia"/>
                <w:sz w:val="21"/>
                <w:szCs w:val="21"/>
              </w:rPr>
              <w:t>HJ694-2014</w:t>
            </w:r>
          </w:p>
          <w:p>
            <w:pPr>
              <w:adjustRightInd w:val="0"/>
              <w:snapToGrid w:val="0"/>
              <w:spacing w:beforeLines="0" w:afterLines="0" w:line="240" w:lineRule="auto"/>
              <w:ind w:firstLine="0" w:firstLineChars="0"/>
              <w:jc w:val="center"/>
              <w:rPr>
                <w:sz w:val="21"/>
                <w:szCs w:val="21"/>
              </w:rPr>
            </w:pPr>
            <w:r>
              <w:rPr>
                <w:rFonts w:hint="eastAsia"/>
                <w:sz w:val="21"/>
                <w:szCs w:val="21"/>
              </w:rPr>
              <w:t>GB7467-87</w:t>
            </w:r>
          </w:p>
          <w:p>
            <w:pPr>
              <w:adjustRightInd w:val="0"/>
              <w:snapToGrid w:val="0"/>
              <w:spacing w:beforeLines="0" w:afterLines="0" w:line="240" w:lineRule="auto"/>
              <w:ind w:firstLine="0" w:firstLineChars="0"/>
              <w:jc w:val="center"/>
              <w:rPr>
                <w:sz w:val="21"/>
                <w:szCs w:val="21"/>
              </w:rPr>
            </w:pPr>
            <w:r>
              <w:rPr>
                <w:rFonts w:hint="eastAsia"/>
                <w:sz w:val="21"/>
                <w:szCs w:val="21"/>
              </w:rPr>
              <w:t>GB/T7475-1987</w:t>
            </w:r>
          </w:p>
          <w:p>
            <w:pPr>
              <w:adjustRightInd w:val="0"/>
              <w:snapToGrid w:val="0"/>
              <w:spacing w:beforeLines="0" w:afterLines="0" w:line="240" w:lineRule="auto"/>
              <w:ind w:firstLine="0" w:firstLineChars="0"/>
              <w:jc w:val="center"/>
              <w:rPr>
                <w:sz w:val="21"/>
                <w:szCs w:val="21"/>
              </w:rPr>
            </w:pPr>
            <w:r>
              <w:rPr>
                <w:rFonts w:hint="eastAsia"/>
                <w:sz w:val="21"/>
                <w:szCs w:val="21"/>
              </w:rPr>
              <w:t>GB11892-1989</w:t>
            </w:r>
          </w:p>
          <w:p>
            <w:pPr>
              <w:adjustRightInd w:val="0"/>
              <w:snapToGrid w:val="0"/>
              <w:spacing w:beforeLines="0" w:afterLines="0" w:line="240" w:lineRule="auto"/>
              <w:ind w:firstLine="0" w:firstLineChars="0"/>
              <w:jc w:val="center"/>
              <w:rPr>
                <w:sz w:val="21"/>
                <w:szCs w:val="21"/>
              </w:rPr>
            </w:pPr>
            <w:r>
              <w:rPr>
                <w:rFonts w:hint="eastAsia"/>
                <w:sz w:val="21"/>
                <w:szCs w:val="21"/>
              </w:rPr>
              <w:t>HJ503-2009</w:t>
            </w:r>
          </w:p>
          <w:p>
            <w:pPr>
              <w:adjustRightInd w:val="0"/>
              <w:snapToGrid w:val="0"/>
              <w:spacing w:beforeLines="0" w:afterLines="0" w:line="240" w:lineRule="auto"/>
              <w:ind w:firstLine="0" w:firstLineChars="0"/>
              <w:jc w:val="center"/>
              <w:rPr>
                <w:sz w:val="21"/>
                <w:szCs w:val="21"/>
              </w:rPr>
            </w:pPr>
            <w:r>
              <w:rPr>
                <w:rFonts w:hint="eastAsia"/>
                <w:sz w:val="21"/>
                <w:szCs w:val="21"/>
              </w:rPr>
              <w:t>GB11912-89</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3、6、7月开展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43" w:hRule="atLeast"/>
          <w:jc w:val="center"/>
        </w:trPr>
        <w:tc>
          <w:tcPr>
            <w:tcW w:w="65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环境空气</w:t>
            </w:r>
          </w:p>
        </w:tc>
        <w:tc>
          <w:tcPr>
            <w:tcW w:w="1403"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矿区家属区、露采区、2#排土场、尾矿库、下门岗</w:t>
            </w:r>
          </w:p>
        </w:tc>
        <w:tc>
          <w:tcPr>
            <w:tcW w:w="142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TSP、SO</w:t>
            </w:r>
            <w:r>
              <w:rPr>
                <w:rFonts w:hint="eastAsia"/>
                <w:sz w:val="21"/>
                <w:szCs w:val="21"/>
                <w:vertAlign w:val="subscript"/>
              </w:rPr>
              <w:t>2</w:t>
            </w:r>
            <w:r>
              <w:rPr>
                <w:rFonts w:hint="eastAsia"/>
                <w:sz w:val="21"/>
                <w:szCs w:val="21"/>
              </w:rPr>
              <w:t>、NO</w:t>
            </w:r>
            <w:r>
              <w:rPr>
                <w:rFonts w:hint="eastAsia"/>
                <w:sz w:val="21"/>
                <w:szCs w:val="21"/>
                <w:vertAlign w:val="subscript"/>
              </w:rPr>
              <w:t>2</w:t>
            </w:r>
            <w:r>
              <w:rPr>
                <w:rFonts w:hint="eastAsia"/>
                <w:sz w:val="21"/>
                <w:szCs w:val="21"/>
              </w:rPr>
              <w:t>、PM</w:t>
            </w:r>
            <w:r>
              <w:rPr>
                <w:rFonts w:hint="eastAsia"/>
                <w:sz w:val="21"/>
                <w:szCs w:val="21"/>
                <w:vertAlign w:val="subscript"/>
              </w:rPr>
              <w:t>10</w:t>
            </w:r>
          </w:p>
        </w:tc>
        <w:tc>
          <w:tcPr>
            <w:tcW w:w="172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每季度1次</w:t>
            </w:r>
          </w:p>
        </w:tc>
        <w:tc>
          <w:tcPr>
            <w:tcW w:w="1985"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GB/T15432-1995</w:t>
            </w:r>
          </w:p>
          <w:p>
            <w:pPr>
              <w:adjustRightInd w:val="0"/>
              <w:snapToGrid w:val="0"/>
              <w:spacing w:beforeLines="0" w:afterLines="0" w:line="240" w:lineRule="auto"/>
              <w:ind w:firstLine="0" w:firstLineChars="0"/>
              <w:jc w:val="center"/>
              <w:rPr>
                <w:sz w:val="21"/>
                <w:szCs w:val="21"/>
              </w:rPr>
            </w:pPr>
            <w:r>
              <w:rPr>
                <w:rFonts w:hint="eastAsia"/>
                <w:sz w:val="21"/>
                <w:szCs w:val="21"/>
              </w:rPr>
              <w:t>HJ482-2009</w:t>
            </w:r>
          </w:p>
          <w:p>
            <w:pPr>
              <w:adjustRightInd w:val="0"/>
              <w:snapToGrid w:val="0"/>
              <w:spacing w:beforeLines="0" w:afterLines="0" w:line="240" w:lineRule="auto"/>
              <w:ind w:firstLine="0" w:firstLineChars="0"/>
              <w:jc w:val="center"/>
              <w:rPr>
                <w:sz w:val="21"/>
                <w:szCs w:val="21"/>
              </w:rPr>
            </w:pPr>
            <w:r>
              <w:rPr>
                <w:rFonts w:hint="eastAsia"/>
                <w:sz w:val="21"/>
                <w:szCs w:val="21"/>
              </w:rPr>
              <w:t>HJ479-2009</w:t>
            </w:r>
          </w:p>
          <w:p>
            <w:pPr>
              <w:adjustRightInd w:val="0"/>
              <w:snapToGrid w:val="0"/>
              <w:spacing w:beforeLines="0" w:afterLines="0" w:line="240" w:lineRule="auto"/>
              <w:ind w:firstLine="0" w:firstLineChars="0"/>
              <w:jc w:val="center"/>
              <w:rPr>
                <w:sz w:val="21"/>
                <w:szCs w:val="21"/>
              </w:rPr>
            </w:pPr>
            <w:r>
              <w:rPr>
                <w:rFonts w:hint="eastAsia"/>
                <w:sz w:val="21"/>
                <w:szCs w:val="21"/>
              </w:rPr>
              <w:t>HJ618-2011</w:t>
            </w:r>
          </w:p>
        </w:tc>
        <w:tc>
          <w:tcPr>
            <w:tcW w:w="1326"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6、9、10月开展（受疫情影响，一季度未开展）</w:t>
            </w:r>
          </w:p>
        </w:tc>
      </w:tr>
    </w:tbl>
    <w:p>
      <w:pPr>
        <w:pStyle w:val="2"/>
        <w:spacing w:beforeLines="0" w:afterLines="0" w:line="240" w:lineRule="auto"/>
        <w:rPr>
          <w:b w:val="0"/>
          <w:sz w:val="30"/>
          <w:szCs w:val="30"/>
        </w:rPr>
        <w:sectPr>
          <w:pgSz w:w="11906" w:h="16838"/>
          <w:pgMar w:top="1440" w:right="1800" w:bottom="1440" w:left="1800" w:header="851" w:footer="992" w:gutter="0"/>
          <w:cols w:space="720" w:num="1"/>
          <w:docGrid w:type="lines" w:linePitch="312" w:charSpace="0"/>
        </w:sectPr>
      </w:pPr>
      <w:bookmarkStart w:id="29" w:name="_Toc435621452"/>
      <w:bookmarkStart w:id="30" w:name="_Toc441676834"/>
      <w:bookmarkStart w:id="31" w:name="_Toc409074561"/>
      <w:bookmarkStart w:id="32" w:name="_Toc380682324"/>
    </w:p>
    <w:p>
      <w:pPr>
        <w:pStyle w:val="2"/>
        <w:spacing w:beforeLines="0" w:afterLines="0" w:line="240" w:lineRule="auto"/>
        <w:rPr>
          <w:b w:val="0"/>
          <w:sz w:val="30"/>
          <w:szCs w:val="30"/>
        </w:rPr>
      </w:pPr>
      <w:bookmarkStart w:id="33" w:name="_Toc66281442"/>
      <w:r>
        <w:rPr>
          <w:rFonts w:hint="eastAsia"/>
          <w:b w:val="0"/>
          <w:sz w:val="30"/>
          <w:szCs w:val="30"/>
        </w:rPr>
        <w:t xml:space="preserve">4 </w:t>
      </w:r>
      <w:bookmarkEnd w:id="29"/>
      <w:bookmarkEnd w:id="30"/>
      <w:bookmarkEnd w:id="31"/>
      <w:bookmarkEnd w:id="32"/>
      <w:r>
        <w:rPr>
          <w:rFonts w:hint="eastAsia"/>
          <w:b w:val="0"/>
          <w:sz w:val="30"/>
          <w:szCs w:val="30"/>
        </w:rPr>
        <w:t>环境管理情况</w:t>
      </w:r>
      <w:bookmarkEnd w:id="33"/>
    </w:p>
    <w:p>
      <w:pPr>
        <w:pStyle w:val="3"/>
        <w:spacing w:before="124" w:after="124"/>
        <w:rPr>
          <w:color w:val="auto"/>
        </w:rPr>
      </w:pPr>
      <w:bookmarkStart w:id="34" w:name="_Toc380682325"/>
      <w:bookmarkStart w:id="35" w:name="_Toc409074562"/>
      <w:bookmarkStart w:id="36" w:name="_Toc435621453"/>
      <w:bookmarkStart w:id="37" w:name="_Toc441676835"/>
      <w:bookmarkStart w:id="38" w:name="_Toc66281443"/>
      <w:r>
        <w:rPr>
          <w:color w:val="auto"/>
        </w:rPr>
        <w:t>4.1</w:t>
      </w:r>
      <w:r>
        <w:rPr>
          <w:rFonts w:hint="eastAsia"/>
          <w:color w:val="auto"/>
        </w:rPr>
        <w:t xml:space="preserve"> </w:t>
      </w:r>
      <w:r>
        <w:rPr>
          <w:color w:val="auto"/>
        </w:rPr>
        <w:t>建设项目环境影响评价和</w:t>
      </w:r>
      <w:r>
        <w:rPr>
          <w:rFonts w:hint="eastAsia"/>
          <w:color w:val="auto"/>
        </w:rPr>
        <w:t>“</w:t>
      </w:r>
      <w:r>
        <w:rPr>
          <w:color w:val="auto"/>
        </w:rPr>
        <w:t>三同时</w:t>
      </w:r>
      <w:r>
        <w:rPr>
          <w:rFonts w:hint="eastAsia"/>
          <w:color w:val="auto"/>
        </w:rPr>
        <w:t>”</w:t>
      </w:r>
      <w:r>
        <w:rPr>
          <w:color w:val="auto"/>
        </w:rPr>
        <w:t>制度执行情况</w:t>
      </w:r>
      <w:bookmarkEnd w:id="34"/>
      <w:bookmarkEnd w:id="35"/>
      <w:bookmarkEnd w:id="36"/>
      <w:bookmarkEnd w:id="37"/>
      <w:bookmarkEnd w:id="38"/>
    </w:p>
    <w:p>
      <w:pPr>
        <w:spacing w:before="93" w:beforeLines="30" w:after="93" w:afterLines="30"/>
        <w:ind w:firstLine="480"/>
        <w:rPr>
          <w:rFonts w:eastAsia="仿宋_GB2312"/>
          <w:sz w:val="24"/>
          <w:szCs w:val="24"/>
        </w:rPr>
      </w:pPr>
      <w:r>
        <w:rPr>
          <w:rFonts w:hint="eastAsia" w:eastAsia="仿宋_GB2312"/>
          <w:sz w:val="24"/>
          <w:szCs w:val="24"/>
        </w:rPr>
        <w:t>曙光金铜矿环境影响评价和“三同时”制度执行情况见表4-1</w:t>
      </w:r>
    </w:p>
    <w:p>
      <w:pPr>
        <w:pStyle w:val="10"/>
        <w:spacing w:beforeLines="0" w:line="240" w:lineRule="auto"/>
      </w:pPr>
      <w:r>
        <w:t>表</w:t>
      </w:r>
      <w:r>
        <w:rPr>
          <w:rFonts w:hint="eastAsia"/>
        </w:rPr>
        <w:t>4</w:t>
      </w:r>
      <w:r>
        <w:t>-1环境影响评价和</w:t>
      </w:r>
      <w:r>
        <w:rPr>
          <w:rFonts w:hint="eastAsia"/>
        </w:rPr>
        <w:t>“</w:t>
      </w:r>
      <w:r>
        <w:t>三同时</w:t>
      </w:r>
      <w:r>
        <w:rPr>
          <w:rFonts w:hint="eastAsia"/>
        </w:rPr>
        <w:t>”制度</w:t>
      </w:r>
      <w:r>
        <w:t>执行情况</w:t>
      </w:r>
    </w:p>
    <w:tbl>
      <w:tblPr>
        <w:tblStyle w:val="11"/>
        <w:tblW w:w="14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3"/>
        <w:gridCol w:w="2724"/>
        <w:gridCol w:w="709"/>
        <w:gridCol w:w="992"/>
        <w:gridCol w:w="1664"/>
        <w:gridCol w:w="1057"/>
        <w:gridCol w:w="1106"/>
        <w:gridCol w:w="992"/>
        <w:gridCol w:w="992"/>
        <w:gridCol w:w="1542"/>
        <w:gridCol w:w="1162"/>
        <w:gridCol w:w="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Merge w:val="restart"/>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序号</w:t>
            </w:r>
          </w:p>
        </w:tc>
        <w:tc>
          <w:tcPr>
            <w:tcW w:w="2724" w:type="dxa"/>
            <w:vMerge w:val="restart"/>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生产线</w:t>
            </w:r>
          </w:p>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名称</w:t>
            </w:r>
          </w:p>
        </w:tc>
        <w:tc>
          <w:tcPr>
            <w:tcW w:w="709" w:type="dxa"/>
            <w:vMerge w:val="restart"/>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产品名称</w:t>
            </w:r>
          </w:p>
        </w:tc>
        <w:tc>
          <w:tcPr>
            <w:tcW w:w="4819" w:type="dxa"/>
            <w:gridSpan w:val="4"/>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pacing w:val="30"/>
                <w:sz w:val="21"/>
                <w:szCs w:val="21"/>
              </w:rPr>
              <w:t>环境影响评</w:t>
            </w:r>
            <w:r>
              <w:rPr>
                <w:rFonts w:ascii="Times New Roman" w:hAnsiTheme="minorEastAsia" w:eastAsiaTheme="minorEastAsia"/>
                <w:b/>
                <w:sz w:val="21"/>
                <w:szCs w:val="21"/>
              </w:rPr>
              <w:t>价</w:t>
            </w:r>
          </w:p>
        </w:tc>
        <w:tc>
          <w:tcPr>
            <w:tcW w:w="992" w:type="dxa"/>
            <w:vMerge w:val="restart"/>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hint="eastAsia" w:ascii="Times New Roman" w:hAnsiTheme="minorEastAsia" w:eastAsiaTheme="minorEastAsia"/>
                <w:b/>
                <w:sz w:val="21"/>
                <w:szCs w:val="21"/>
              </w:rPr>
              <w:t>投入运行时间</w:t>
            </w:r>
          </w:p>
        </w:tc>
        <w:tc>
          <w:tcPr>
            <w:tcW w:w="3696" w:type="dxa"/>
            <w:gridSpan w:val="3"/>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竣工环境保护验收</w:t>
            </w:r>
          </w:p>
        </w:tc>
        <w:tc>
          <w:tcPr>
            <w:tcW w:w="731" w:type="dxa"/>
            <w:vMerge w:val="restart"/>
            <w:vAlign w:val="center"/>
          </w:tcPr>
          <w:p>
            <w:pPr>
              <w:pStyle w:val="16"/>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运行</w:t>
            </w:r>
          </w:p>
          <w:p>
            <w:pPr>
              <w:pStyle w:val="16"/>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状态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7" w:hRule="atLeast"/>
          <w:tblHeader/>
        </w:trPr>
        <w:tc>
          <w:tcPr>
            <w:tcW w:w="503" w:type="dxa"/>
            <w:vMerge w:val="continue"/>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p>
        </w:tc>
        <w:tc>
          <w:tcPr>
            <w:tcW w:w="2724" w:type="dxa"/>
            <w:vMerge w:val="continue"/>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p>
        </w:tc>
        <w:tc>
          <w:tcPr>
            <w:tcW w:w="709" w:type="dxa"/>
            <w:vMerge w:val="continue"/>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p>
        </w:tc>
        <w:tc>
          <w:tcPr>
            <w:tcW w:w="992"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审批</w:t>
            </w:r>
          </w:p>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部门</w:t>
            </w:r>
          </w:p>
        </w:tc>
        <w:tc>
          <w:tcPr>
            <w:tcW w:w="1664"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批准文号</w:t>
            </w:r>
          </w:p>
        </w:tc>
        <w:tc>
          <w:tcPr>
            <w:tcW w:w="1057"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批准时间</w:t>
            </w:r>
          </w:p>
        </w:tc>
        <w:tc>
          <w:tcPr>
            <w:tcW w:w="1106"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规模</w:t>
            </w:r>
          </w:p>
        </w:tc>
        <w:tc>
          <w:tcPr>
            <w:tcW w:w="992" w:type="dxa"/>
            <w:vMerge w:val="continue"/>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p>
        </w:tc>
        <w:tc>
          <w:tcPr>
            <w:tcW w:w="992"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审批部门</w:t>
            </w:r>
          </w:p>
        </w:tc>
        <w:tc>
          <w:tcPr>
            <w:tcW w:w="1542"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批准文号</w:t>
            </w:r>
          </w:p>
        </w:tc>
        <w:tc>
          <w:tcPr>
            <w:tcW w:w="1162" w:type="dxa"/>
            <w:vAlign w:val="center"/>
          </w:tcPr>
          <w:p>
            <w:pPr>
              <w:pStyle w:val="16"/>
              <w:adjustRightInd w:val="0"/>
              <w:snapToGrid w:val="0"/>
              <w:spacing w:beforeLines="0" w:afterLines="0" w:line="240" w:lineRule="auto"/>
              <w:ind w:firstLine="0" w:firstLineChars="0"/>
              <w:rPr>
                <w:rFonts w:ascii="Times New Roman" w:hAnsi="Times New Roman" w:eastAsiaTheme="minorEastAsia"/>
                <w:b/>
                <w:sz w:val="21"/>
                <w:szCs w:val="21"/>
              </w:rPr>
            </w:pPr>
            <w:r>
              <w:rPr>
                <w:rFonts w:ascii="Times New Roman" w:hAnsiTheme="minorEastAsia" w:eastAsiaTheme="minorEastAsia"/>
                <w:b/>
                <w:sz w:val="21"/>
                <w:szCs w:val="21"/>
              </w:rPr>
              <w:t>批准时间</w:t>
            </w:r>
          </w:p>
        </w:tc>
        <w:tc>
          <w:tcPr>
            <w:tcW w:w="731" w:type="dxa"/>
            <w:vMerge w:val="continue"/>
            <w:vAlign w:val="center"/>
          </w:tcPr>
          <w:p>
            <w:pPr>
              <w:pStyle w:val="16"/>
              <w:snapToGrid w:val="0"/>
              <w:spacing w:beforeLines="0" w:afterLines="0" w:line="240" w:lineRule="auto"/>
              <w:ind w:firstLine="0" w:firstLineChars="0"/>
              <w:rPr>
                <w:rFonts w:ascii="Times New Roman" w:hAnsi="Times New Roman" w:eastAsia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1</w:t>
            </w:r>
          </w:p>
        </w:tc>
        <w:tc>
          <w:tcPr>
            <w:tcW w:w="2724"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sz w:val="21"/>
                <w:szCs w:val="21"/>
              </w:rPr>
              <w:t>珲春紫金矿业有限公司</w:t>
            </w:r>
            <w:r>
              <w:rPr>
                <w:rFonts w:eastAsiaTheme="minorEastAsia"/>
                <w:sz w:val="21"/>
                <w:szCs w:val="21"/>
              </w:rPr>
              <w:t>4000</w:t>
            </w:r>
            <w:r>
              <w:rPr>
                <w:rFonts w:hAnsiTheme="minorEastAsia" w:eastAsiaTheme="minorEastAsia"/>
                <w:sz w:val="21"/>
                <w:szCs w:val="21"/>
              </w:rPr>
              <w:t>吨</w:t>
            </w:r>
            <w:r>
              <w:rPr>
                <w:rFonts w:eastAsiaTheme="minorEastAsia"/>
                <w:sz w:val="21"/>
                <w:szCs w:val="21"/>
              </w:rPr>
              <w:t>/</w:t>
            </w:r>
            <w:r>
              <w:rPr>
                <w:rFonts w:hAnsiTheme="minorEastAsia" w:eastAsiaTheme="minorEastAsia"/>
                <w:sz w:val="21"/>
                <w:szCs w:val="21"/>
              </w:rPr>
              <w:t>日金铜选冶改扩建项目（采选部分）</w:t>
            </w:r>
          </w:p>
        </w:tc>
        <w:tc>
          <w:tcPr>
            <w:tcW w:w="709"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heme="minorEastAsia" w:eastAsiaTheme="minorEastAsia"/>
                <w:sz w:val="21"/>
                <w:szCs w:val="21"/>
              </w:rPr>
              <w:t>金铜精矿</w:t>
            </w:r>
          </w:p>
        </w:tc>
        <w:tc>
          <w:tcPr>
            <w:tcW w:w="99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原吉林省环境保护局</w:t>
            </w:r>
          </w:p>
        </w:tc>
        <w:tc>
          <w:tcPr>
            <w:tcW w:w="1664"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snapToGrid w:val="0"/>
                <w:kern w:val="0"/>
                <w:sz w:val="21"/>
                <w:szCs w:val="21"/>
                <w:lang w:val="zh-CN"/>
              </w:rPr>
              <w:t>吉环建字</w:t>
            </w:r>
            <w:r>
              <w:rPr>
                <w:rFonts w:eastAsiaTheme="minorEastAsia"/>
                <w:snapToGrid w:val="0"/>
                <w:kern w:val="0"/>
                <w:sz w:val="21"/>
                <w:szCs w:val="21"/>
                <w:lang w:val="zh-CN"/>
              </w:rPr>
              <w:t>[2004]135</w:t>
            </w:r>
            <w:r>
              <w:rPr>
                <w:rFonts w:hAnsiTheme="minorEastAsia" w:eastAsiaTheme="minorEastAsia"/>
                <w:snapToGrid w:val="0"/>
                <w:kern w:val="0"/>
                <w:sz w:val="21"/>
                <w:szCs w:val="21"/>
                <w:lang w:val="zh-CN"/>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bCs/>
                <w:sz w:val="21"/>
                <w:szCs w:val="21"/>
              </w:rPr>
              <w:t>2004.9.16</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4000t/d</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w:t>
            </w:r>
            <w:r>
              <w:rPr>
                <w:rFonts w:hint="eastAsia" w:ascii="Times New Roman" w:hAnsi="Times New Roman" w:eastAsiaTheme="minorEastAsia"/>
                <w:sz w:val="21"/>
                <w:szCs w:val="21"/>
              </w:rPr>
              <w:t>4</w:t>
            </w:r>
            <w:r>
              <w:rPr>
                <w:rFonts w:ascii="Times New Roman" w:hAnsi="Times New Roman" w:eastAsiaTheme="minorEastAsia"/>
                <w:sz w:val="21"/>
                <w:szCs w:val="21"/>
              </w:rPr>
              <w:t>.</w:t>
            </w:r>
            <w:r>
              <w:rPr>
                <w:rFonts w:hint="eastAsia" w:ascii="Times New Roman" w:hAnsi="Times New Roman" w:eastAsiaTheme="minorEastAsia"/>
                <w:sz w:val="21"/>
                <w:szCs w:val="21"/>
              </w:rPr>
              <w:t>8</w:t>
            </w:r>
          </w:p>
        </w:tc>
        <w:tc>
          <w:tcPr>
            <w:tcW w:w="99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原吉林省环境保护局</w:t>
            </w:r>
          </w:p>
        </w:tc>
        <w:tc>
          <w:tcPr>
            <w:tcW w:w="154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吉环验</w:t>
            </w:r>
            <w:r>
              <w:rPr>
                <w:rFonts w:eastAsiaTheme="minorEastAsia"/>
                <w:kern w:val="0"/>
                <w:sz w:val="21"/>
                <w:szCs w:val="21"/>
              </w:rPr>
              <w:t>[2006]21</w:t>
            </w:r>
            <w:r>
              <w:rPr>
                <w:rFonts w:hAnsiTheme="minorEastAsia" w:eastAsiaTheme="minorEastAsia"/>
                <w:kern w:val="0"/>
                <w:sz w:val="21"/>
                <w:szCs w:val="21"/>
              </w:rPr>
              <w:t>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2006.7.3</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heme="minorEastAsia"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w:t>
            </w:r>
          </w:p>
        </w:tc>
        <w:tc>
          <w:tcPr>
            <w:tcW w:w="2724"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sz w:val="21"/>
                <w:szCs w:val="21"/>
              </w:rPr>
              <w:t>珲春紫金矿业有限公司曙光金铜矿</w:t>
            </w:r>
            <w:r>
              <w:rPr>
                <w:rFonts w:eastAsiaTheme="minorEastAsia"/>
                <w:sz w:val="21"/>
                <w:szCs w:val="21"/>
              </w:rPr>
              <w:t>9500t/d</w:t>
            </w:r>
            <w:r>
              <w:rPr>
                <w:rFonts w:hAnsiTheme="minorEastAsia" w:eastAsiaTheme="minorEastAsia"/>
                <w:sz w:val="21"/>
                <w:szCs w:val="21"/>
              </w:rPr>
              <w:t>改扩建项目</w:t>
            </w:r>
          </w:p>
        </w:tc>
        <w:tc>
          <w:tcPr>
            <w:tcW w:w="709"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heme="minorEastAsia" w:eastAsiaTheme="minorEastAsia"/>
                <w:sz w:val="21"/>
                <w:szCs w:val="21"/>
              </w:rPr>
              <w:t>金铜精矿</w:t>
            </w:r>
          </w:p>
        </w:tc>
        <w:tc>
          <w:tcPr>
            <w:tcW w:w="99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原吉林省环境保护局</w:t>
            </w:r>
          </w:p>
        </w:tc>
        <w:tc>
          <w:tcPr>
            <w:tcW w:w="1664"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snapToGrid w:val="0"/>
                <w:kern w:val="0"/>
                <w:sz w:val="21"/>
                <w:szCs w:val="21"/>
                <w:lang w:val="zh-CN"/>
              </w:rPr>
              <w:t>吉环建字</w:t>
            </w:r>
            <w:r>
              <w:rPr>
                <w:rFonts w:eastAsiaTheme="minorEastAsia"/>
                <w:snapToGrid w:val="0"/>
                <w:kern w:val="0"/>
                <w:sz w:val="21"/>
                <w:szCs w:val="21"/>
                <w:lang w:val="zh-CN"/>
              </w:rPr>
              <w:t>[2007]37</w:t>
            </w:r>
            <w:r>
              <w:rPr>
                <w:rFonts w:hAnsiTheme="minorEastAsia" w:eastAsiaTheme="minorEastAsia"/>
                <w:snapToGrid w:val="0"/>
                <w:kern w:val="0"/>
                <w:sz w:val="21"/>
                <w:szCs w:val="21"/>
                <w:lang w:val="zh-CN"/>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bCs/>
                <w:sz w:val="21"/>
                <w:szCs w:val="21"/>
              </w:rPr>
              <w:t>2007.2.14</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9500t/d</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2008.10</w:t>
            </w:r>
          </w:p>
        </w:tc>
        <w:tc>
          <w:tcPr>
            <w:tcW w:w="99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吉林省环境保护厅</w:t>
            </w:r>
          </w:p>
        </w:tc>
        <w:tc>
          <w:tcPr>
            <w:tcW w:w="154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吉环行审字</w:t>
            </w:r>
            <w:r>
              <w:rPr>
                <w:rFonts w:eastAsiaTheme="minorEastAsia"/>
                <w:kern w:val="0"/>
                <w:sz w:val="21"/>
                <w:szCs w:val="21"/>
              </w:rPr>
              <w:t>[2009]3074</w:t>
            </w:r>
            <w:r>
              <w:rPr>
                <w:rFonts w:hAnsiTheme="minorEastAsia" w:eastAsiaTheme="minorEastAsia"/>
                <w:kern w:val="0"/>
                <w:sz w:val="21"/>
                <w:szCs w:val="21"/>
              </w:rPr>
              <w:t>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2009.10.20</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heme="minorEastAsia"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3</w:t>
            </w:r>
          </w:p>
        </w:tc>
        <w:tc>
          <w:tcPr>
            <w:tcW w:w="2724" w:type="dxa"/>
            <w:vAlign w:val="center"/>
          </w:tcPr>
          <w:p>
            <w:pPr>
              <w:snapToGrid w:val="0"/>
              <w:spacing w:beforeLines="0" w:afterLines="0" w:line="240" w:lineRule="auto"/>
              <w:ind w:firstLine="0" w:firstLineChars="0"/>
              <w:jc w:val="center"/>
              <w:rPr>
                <w:rFonts w:eastAsiaTheme="minorEastAsia"/>
                <w:sz w:val="21"/>
                <w:szCs w:val="21"/>
              </w:rPr>
            </w:pPr>
            <w:r>
              <w:rPr>
                <w:rFonts w:hAnsiTheme="minorEastAsia" w:eastAsiaTheme="minorEastAsia"/>
                <w:sz w:val="21"/>
                <w:szCs w:val="21"/>
              </w:rPr>
              <w:t>珲春紫金矿业有限公司曙光金铜矿废石综合利用项目</w:t>
            </w:r>
          </w:p>
        </w:tc>
        <w:tc>
          <w:tcPr>
            <w:tcW w:w="709"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heme="minorEastAsia" w:eastAsiaTheme="minorEastAsia"/>
                <w:sz w:val="21"/>
                <w:szCs w:val="21"/>
              </w:rPr>
              <w:t>金铜精矿</w:t>
            </w:r>
          </w:p>
        </w:tc>
        <w:tc>
          <w:tcPr>
            <w:tcW w:w="992" w:type="dxa"/>
            <w:vAlign w:val="center"/>
          </w:tcPr>
          <w:p>
            <w:pPr>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吉林省环境保护厅</w:t>
            </w:r>
          </w:p>
        </w:tc>
        <w:tc>
          <w:tcPr>
            <w:tcW w:w="1664" w:type="dxa"/>
            <w:vAlign w:val="center"/>
          </w:tcPr>
          <w:p>
            <w:pPr>
              <w:snapToGrid w:val="0"/>
              <w:spacing w:beforeLines="0" w:afterLines="0" w:line="240" w:lineRule="auto"/>
              <w:ind w:firstLine="0" w:firstLineChars="0"/>
              <w:jc w:val="center"/>
              <w:rPr>
                <w:rFonts w:hAnsiTheme="minorEastAsia" w:eastAsiaTheme="minorEastAsia"/>
                <w:snapToGrid w:val="0"/>
                <w:kern w:val="0"/>
                <w:sz w:val="21"/>
                <w:szCs w:val="21"/>
                <w:lang w:val="zh-CN"/>
              </w:rPr>
            </w:pPr>
            <w:r>
              <w:rPr>
                <w:rFonts w:hAnsiTheme="minorEastAsia" w:eastAsiaTheme="minorEastAsia"/>
                <w:snapToGrid w:val="0"/>
                <w:kern w:val="0"/>
                <w:sz w:val="21"/>
                <w:szCs w:val="21"/>
                <w:lang w:val="zh-CN"/>
              </w:rPr>
              <w:t>吉环审字</w:t>
            </w:r>
            <w:r>
              <w:rPr>
                <w:rFonts w:eastAsiaTheme="minorEastAsia"/>
                <w:snapToGrid w:val="0"/>
                <w:kern w:val="0"/>
                <w:sz w:val="21"/>
                <w:szCs w:val="21"/>
                <w:lang w:val="zh-CN"/>
              </w:rPr>
              <w:t>[201</w:t>
            </w:r>
            <w:r>
              <w:rPr>
                <w:rFonts w:hint="eastAsia" w:eastAsiaTheme="minorEastAsia"/>
                <w:snapToGrid w:val="0"/>
                <w:kern w:val="0"/>
                <w:sz w:val="21"/>
                <w:szCs w:val="21"/>
                <w:lang w:val="zh-CN"/>
              </w:rPr>
              <w:t>2</w:t>
            </w:r>
            <w:r>
              <w:rPr>
                <w:rFonts w:eastAsiaTheme="minorEastAsia"/>
                <w:snapToGrid w:val="0"/>
                <w:kern w:val="0"/>
                <w:sz w:val="21"/>
                <w:szCs w:val="21"/>
                <w:lang w:val="zh-CN"/>
              </w:rPr>
              <w:t>]1</w:t>
            </w:r>
            <w:r>
              <w:rPr>
                <w:rFonts w:hint="eastAsia" w:eastAsiaTheme="minorEastAsia"/>
                <w:snapToGrid w:val="0"/>
                <w:kern w:val="0"/>
                <w:sz w:val="21"/>
                <w:szCs w:val="21"/>
                <w:lang w:val="zh-CN"/>
              </w:rPr>
              <w:t>78</w:t>
            </w:r>
            <w:r>
              <w:rPr>
                <w:rFonts w:hAnsiTheme="minorEastAsia" w:eastAsiaTheme="minorEastAsia"/>
                <w:snapToGrid w:val="0"/>
                <w:kern w:val="0"/>
                <w:sz w:val="21"/>
                <w:szCs w:val="21"/>
                <w:lang w:val="zh-CN"/>
              </w:rPr>
              <w:t>号</w:t>
            </w:r>
          </w:p>
          <w:p>
            <w:pPr>
              <w:snapToGrid w:val="0"/>
              <w:spacing w:beforeLines="0" w:afterLines="0" w:line="240" w:lineRule="auto"/>
              <w:ind w:firstLine="0" w:firstLineChars="0"/>
              <w:jc w:val="center"/>
              <w:rPr>
                <w:rFonts w:eastAsiaTheme="minorEastAsia"/>
                <w:snapToGrid w:val="0"/>
                <w:kern w:val="0"/>
                <w:sz w:val="21"/>
                <w:szCs w:val="21"/>
                <w:lang w:val="zh-CN"/>
              </w:rPr>
            </w:pPr>
            <w:r>
              <w:rPr>
                <w:rFonts w:hAnsiTheme="minorEastAsia" w:eastAsiaTheme="minorEastAsia"/>
                <w:snapToGrid w:val="0"/>
                <w:kern w:val="0"/>
                <w:sz w:val="21"/>
                <w:szCs w:val="21"/>
                <w:lang w:val="zh-CN"/>
              </w:rPr>
              <w:t>吉环审字</w:t>
            </w:r>
            <w:r>
              <w:rPr>
                <w:rFonts w:eastAsiaTheme="minorEastAsia"/>
                <w:snapToGrid w:val="0"/>
                <w:kern w:val="0"/>
                <w:sz w:val="21"/>
                <w:szCs w:val="21"/>
                <w:lang w:val="zh-CN"/>
              </w:rPr>
              <w:t>[2013]103</w:t>
            </w:r>
            <w:r>
              <w:rPr>
                <w:rFonts w:hAnsiTheme="minorEastAsia" w:eastAsiaTheme="minorEastAsia"/>
                <w:snapToGrid w:val="0"/>
                <w:kern w:val="0"/>
                <w:sz w:val="21"/>
                <w:szCs w:val="21"/>
                <w:lang w:val="zh-CN"/>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bCs/>
                <w:sz w:val="21"/>
                <w:szCs w:val="21"/>
              </w:rPr>
              <w:t>2012.7.31</w:t>
            </w:r>
            <w:r>
              <w:rPr>
                <w:rFonts w:ascii="Times New Roman" w:hAnsi="Times New Roman" w:eastAsiaTheme="minorEastAsia"/>
                <w:bCs/>
                <w:sz w:val="21"/>
                <w:szCs w:val="21"/>
              </w:rPr>
              <w:t>2013.5.10</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10000t/d</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2014.11</w:t>
            </w:r>
          </w:p>
        </w:tc>
        <w:tc>
          <w:tcPr>
            <w:tcW w:w="992" w:type="dxa"/>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AnsiTheme="minorEastAsia" w:eastAsiaTheme="minorEastAsia"/>
                <w:kern w:val="0"/>
                <w:sz w:val="21"/>
                <w:szCs w:val="21"/>
              </w:rPr>
              <w:t>吉林省环境保护厅</w:t>
            </w:r>
          </w:p>
        </w:tc>
        <w:tc>
          <w:tcPr>
            <w:tcW w:w="1542" w:type="dxa"/>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吉环审验字[2017]3号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2017.1.5</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4</w:t>
            </w:r>
          </w:p>
        </w:tc>
        <w:tc>
          <w:tcPr>
            <w:tcW w:w="2724" w:type="dxa"/>
            <w:vAlign w:val="center"/>
          </w:tcPr>
          <w:p>
            <w:pPr>
              <w:autoSpaceDE w:val="0"/>
              <w:autoSpaceDN w:val="0"/>
              <w:adjustRightInd w:val="0"/>
              <w:spacing w:beforeLines="0" w:afterLines="0" w:line="240" w:lineRule="auto"/>
              <w:ind w:firstLine="0" w:firstLineChars="0"/>
              <w:jc w:val="center"/>
              <w:rPr>
                <w:rFonts w:hAnsiTheme="minorEastAsia" w:eastAsiaTheme="minorEastAsia"/>
                <w:sz w:val="21"/>
                <w:szCs w:val="21"/>
              </w:rPr>
            </w:pPr>
            <w:r>
              <w:rPr>
                <w:rFonts w:hint="eastAsia" w:ascii="宋体" w:hAnsi="Calibri" w:cs="宋体"/>
                <w:kern w:val="0"/>
                <w:sz w:val="21"/>
                <w:szCs w:val="21"/>
              </w:rPr>
              <w:t>珲春紫金矿业有限公司</w:t>
            </w:r>
            <w:r>
              <w:rPr>
                <w:kern w:val="0"/>
                <w:sz w:val="21"/>
                <w:szCs w:val="21"/>
              </w:rPr>
              <w:t>200m</w:t>
            </w:r>
            <w:r>
              <w:rPr>
                <w:kern w:val="0"/>
                <w:sz w:val="21"/>
                <w:szCs w:val="21"/>
                <w:vertAlign w:val="superscript"/>
              </w:rPr>
              <w:t>3</w:t>
            </w:r>
            <w:r>
              <w:rPr>
                <w:kern w:val="0"/>
                <w:sz w:val="21"/>
                <w:szCs w:val="21"/>
              </w:rPr>
              <w:t xml:space="preserve">/d </w:t>
            </w:r>
            <w:r>
              <w:rPr>
                <w:rFonts w:hint="eastAsia" w:ascii="宋体" w:hAnsi="Calibri" w:cs="宋体"/>
                <w:kern w:val="0"/>
                <w:sz w:val="21"/>
                <w:szCs w:val="21"/>
              </w:rPr>
              <w:t>生活污水生态处理工程</w:t>
            </w:r>
          </w:p>
        </w:tc>
        <w:tc>
          <w:tcPr>
            <w:tcW w:w="709" w:type="dxa"/>
            <w:vAlign w:val="center"/>
          </w:tcPr>
          <w:p>
            <w:pPr>
              <w:pStyle w:val="16"/>
              <w:snapToGrid w:val="0"/>
              <w:spacing w:beforeLines="0" w:afterLines="0" w:line="240" w:lineRule="auto"/>
              <w:ind w:firstLine="0" w:firstLineChars="0"/>
              <w:rPr>
                <w:rFonts w:ascii="Times New Roman" w:hAnsiTheme="minorEastAsia" w:eastAsiaTheme="minorEastAsia"/>
                <w:sz w:val="21"/>
                <w:szCs w:val="21"/>
              </w:rPr>
            </w:pPr>
            <w:r>
              <w:rPr>
                <w:rFonts w:hint="eastAsia" w:ascii="Times New Roman" w:hAnsiTheme="minorEastAsia" w:eastAsiaTheme="minorEastAsia"/>
                <w:sz w:val="21"/>
                <w:szCs w:val="21"/>
              </w:rPr>
              <w:t>/</w:t>
            </w:r>
          </w:p>
        </w:tc>
        <w:tc>
          <w:tcPr>
            <w:tcW w:w="992" w:type="dxa"/>
            <w:vAlign w:val="center"/>
          </w:tcPr>
          <w:p>
            <w:pPr>
              <w:snapToGrid w:val="0"/>
              <w:spacing w:beforeLines="0" w:afterLines="0" w:line="240" w:lineRule="auto"/>
              <w:ind w:firstLine="0" w:firstLineChars="0"/>
              <w:jc w:val="center"/>
              <w:rPr>
                <w:rFonts w:hAnsiTheme="minorEastAsia" w:eastAsiaTheme="minorEastAsia"/>
                <w:kern w:val="0"/>
                <w:sz w:val="21"/>
                <w:szCs w:val="21"/>
              </w:rPr>
            </w:pPr>
            <w:r>
              <w:rPr>
                <w:rFonts w:hAnsiTheme="minorEastAsia" w:eastAsiaTheme="minorEastAsia"/>
                <w:kern w:val="0"/>
                <w:sz w:val="21"/>
                <w:szCs w:val="21"/>
              </w:rPr>
              <w:t>珲春市环境保护局</w:t>
            </w:r>
          </w:p>
        </w:tc>
        <w:tc>
          <w:tcPr>
            <w:tcW w:w="1664" w:type="dxa"/>
            <w:vAlign w:val="center"/>
          </w:tcPr>
          <w:p>
            <w:pPr>
              <w:snapToGrid w:val="0"/>
              <w:spacing w:beforeLines="0" w:afterLines="0" w:line="240" w:lineRule="auto"/>
              <w:ind w:firstLine="0" w:firstLineChars="0"/>
              <w:jc w:val="center"/>
              <w:rPr>
                <w:rFonts w:hAnsiTheme="minorEastAsia" w:eastAsiaTheme="minorEastAsia"/>
                <w:snapToGrid w:val="0"/>
                <w:kern w:val="0"/>
                <w:sz w:val="21"/>
                <w:szCs w:val="21"/>
                <w:lang w:val="zh-CN"/>
              </w:rPr>
            </w:pPr>
            <w:r>
              <w:rPr>
                <w:rFonts w:hint="eastAsia" w:hAnsiTheme="minorEastAsia" w:eastAsiaTheme="minorEastAsia"/>
                <w:kern w:val="0"/>
                <w:sz w:val="21"/>
                <w:szCs w:val="21"/>
              </w:rPr>
              <w:t>珲环建（表）字</w:t>
            </w:r>
            <w:r>
              <w:rPr>
                <w:rFonts w:hAnsiTheme="minorEastAsia" w:eastAsiaTheme="minorEastAsia"/>
                <w:kern w:val="0"/>
                <w:sz w:val="21"/>
                <w:szCs w:val="21"/>
              </w:rPr>
              <w:t xml:space="preserve">[2014]16 </w:t>
            </w:r>
            <w:r>
              <w:rPr>
                <w:rFonts w:hint="eastAsia" w:hAnsiTheme="minorEastAsia" w:eastAsiaTheme="minorEastAsia"/>
                <w:kern w:val="0"/>
                <w:sz w:val="21"/>
                <w:szCs w:val="21"/>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bCs/>
                <w:sz w:val="21"/>
                <w:szCs w:val="21"/>
              </w:rPr>
            </w:pPr>
            <w:r>
              <w:rPr>
                <w:rFonts w:hint="eastAsia" w:ascii="Times New Roman" w:hAnsi="Times New Roman" w:eastAsiaTheme="minorEastAsia"/>
                <w:bCs/>
                <w:sz w:val="21"/>
                <w:szCs w:val="21"/>
              </w:rPr>
              <w:t>2014.8.14</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200</w:t>
            </w:r>
            <w:r>
              <w:rPr>
                <w:sz w:val="21"/>
                <w:szCs w:val="21"/>
              </w:rPr>
              <w:t xml:space="preserve"> m</w:t>
            </w:r>
            <w:r>
              <w:rPr>
                <w:sz w:val="21"/>
                <w:szCs w:val="21"/>
                <w:vertAlign w:val="superscript"/>
              </w:rPr>
              <w:t>3</w:t>
            </w:r>
            <w:r>
              <w:rPr>
                <w:sz w:val="21"/>
                <w:szCs w:val="21"/>
              </w:rPr>
              <w:t>/d</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2014.11</w:t>
            </w:r>
          </w:p>
        </w:tc>
        <w:tc>
          <w:tcPr>
            <w:tcW w:w="992" w:type="dxa"/>
            <w:vAlign w:val="center"/>
          </w:tcPr>
          <w:p>
            <w:pPr>
              <w:autoSpaceDE w:val="0"/>
              <w:autoSpaceDN w:val="0"/>
              <w:snapToGrid w:val="0"/>
              <w:spacing w:beforeLines="0" w:afterLines="0" w:line="240" w:lineRule="auto"/>
              <w:ind w:firstLine="0" w:firstLineChars="0"/>
              <w:jc w:val="center"/>
              <w:rPr>
                <w:rFonts w:hAnsiTheme="minorEastAsia" w:eastAsiaTheme="minorEastAsia"/>
                <w:kern w:val="0"/>
                <w:sz w:val="21"/>
                <w:szCs w:val="21"/>
              </w:rPr>
            </w:pPr>
            <w:r>
              <w:rPr>
                <w:rFonts w:hAnsiTheme="minorEastAsia" w:eastAsiaTheme="minorEastAsia"/>
                <w:kern w:val="0"/>
                <w:sz w:val="21"/>
                <w:szCs w:val="21"/>
              </w:rPr>
              <w:t>珲春市环境保护局</w:t>
            </w:r>
          </w:p>
        </w:tc>
        <w:tc>
          <w:tcPr>
            <w:tcW w:w="1542" w:type="dxa"/>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hAnsiTheme="minorEastAsia" w:eastAsiaTheme="minorEastAsia"/>
                <w:kern w:val="0"/>
                <w:sz w:val="21"/>
                <w:szCs w:val="21"/>
              </w:rPr>
              <w:t>吉环行审字</w:t>
            </w:r>
            <w:r>
              <w:rPr>
                <w:rFonts w:hAnsiTheme="minorEastAsia" w:eastAsiaTheme="minorEastAsia"/>
                <w:kern w:val="0"/>
                <w:sz w:val="21"/>
                <w:szCs w:val="21"/>
              </w:rPr>
              <w:t>[2009]3074</w:t>
            </w:r>
            <w:r>
              <w:rPr>
                <w:rFonts w:hint="eastAsia" w:hAnsiTheme="minorEastAsia" w:eastAsiaTheme="minorEastAsia"/>
                <w:kern w:val="0"/>
                <w:sz w:val="21"/>
                <w:szCs w:val="21"/>
              </w:rPr>
              <w:t>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2014.12</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w:t>
            </w:r>
          </w:p>
        </w:tc>
        <w:tc>
          <w:tcPr>
            <w:tcW w:w="2724" w:type="dxa"/>
            <w:vAlign w:val="center"/>
          </w:tcPr>
          <w:p>
            <w:pPr>
              <w:snapToGrid w:val="0"/>
              <w:spacing w:beforeLines="0" w:afterLines="0" w:line="240" w:lineRule="auto"/>
              <w:ind w:firstLine="0" w:firstLineChars="0"/>
              <w:jc w:val="center"/>
              <w:rPr>
                <w:rFonts w:hAnsiTheme="minorEastAsia" w:eastAsiaTheme="minorEastAsia"/>
                <w:sz w:val="21"/>
                <w:szCs w:val="21"/>
              </w:rPr>
            </w:pPr>
            <w:r>
              <w:rPr>
                <w:rFonts w:hAnsiTheme="minorEastAsia" w:eastAsiaTheme="minorEastAsia"/>
                <w:sz w:val="21"/>
                <w:szCs w:val="21"/>
              </w:rPr>
              <w:t>珲春紫金矿业有限公司曙光金铜矿9500t/d改扩建项目尾矿库副坝及排水工程</w:t>
            </w:r>
          </w:p>
        </w:tc>
        <w:tc>
          <w:tcPr>
            <w:tcW w:w="709" w:type="dxa"/>
            <w:vAlign w:val="center"/>
          </w:tcPr>
          <w:p>
            <w:pPr>
              <w:pStyle w:val="16"/>
              <w:snapToGrid w:val="0"/>
              <w:spacing w:beforeLines="0" w:afterLines="0" w:line="240" w:lineRule="auto"/>
              <w:ind w:firstLine="0" w:firstLineChars="0"/>
              <w:rPr>
                <w:rFonts w:ascii="Times New Roman" w:hAnsiTheme="minorEastAsia" w:eastAsiaTheme="minorEastAsia"/>
                <w:sz w:val="21"/>
                <w:szCs w:val="21"/>
              </w:rPr>
            </w:pPr>
            <w:r>
              <w:rPr>
                <w:rFonts w:hint="eastAsia" w:ascii="Times New Roman" w:hAnsiTheme="minorEastAsia" w:eastAsiaTheme="minorEastAsia"/>
                <w:sz w:val="21"/>
                <w:szCs w:val="21"/>
              </w:rPr>
              <w:t>/</w:t>
            </w:r>
          </w:p>
        </w:tc>
        <w:tc>
          <w:tcPr>
            <w:tcW w:w="992" w:type="dxa"/>
            <w:vAlign w:val="center"/>
          </w:tcPr>
          <w:p>
            <w:pPr>
              <w:snapToGrid w:val="0"/>
              <w:spacing w:beforeLines="0" w:afterLines="0" w:line="240" w:lineRule="auto"/>
              <w:ind w:firstLine="0" w:firstLineChars="0"/>
              <w:jc w:val="center"/>
              <w:rPr>
                <w:rFonts w:hAnsiTheme="minorEastAsia" w:eastAsiaTheme="minorEastAsia"/>
                <w:kern w:val="0"/>
                <w:sz w:val="21"/>
                <w:szCs w:val="21"/>
              </w:rPr>
            </w:pPr>
            <w:r>
              <w:rPr>
                <w:rFonts w:hAnsiTheme="minorEastAsia" w:eastAsiaTheme="minorEastAsia"/>
                <w:kern w:val="0"/>
                <w:sz w:val="21"/>
                <w:szCs w:val="21"/>
              </w:rPr>
              <w:t>珲春市环境保护局</w:t>
            </w:r>
          </w:p>
        </w:tc>
        <w:tc>
          <w:tcPr>
            <w:tcW w:w="1664" w:type="dxa"/>
            <w:vAlign w:val="center"/>
          </w:tcPr>
          <w:p>
            <w:pPr>
              <w:snapToGrid w:val="0"/>
              <w:spacing w:beforeLines="0" w:afterLines="0" w:line="240" w:lineRule="auto"/>
              <w:ind w:firstLine="0" w:firstLineChars="0"/>
              <w:jc w:val="center"/>
              <w:rPr>
                <w:rFonts w:hAnsiTheme="minorEastAsia" w:eastAsiaTheme="minorEastAsia"/>
                <w:snapToGrid w:val="0"/>
                <w:kern w:val="0"/>
                <w:sz w:val="21"/>
                <w:szCs w:val="21"/>
                <w:lang w:val="zh-CN"/>
              </w:rPr>
            </w:pPr>
            <w:r>
              <w:rPr>
                <w:rFonts w:hAnsiTheme="minorEastAsia" w:eastAsiaTheme="minorEastAsia"/>
                <w:kern w:val="0"/>
                <w:sz w:val="21"/>
                <w:szCs w:val="21"/>
              </w:rPr>
              <w:t>珲环建（表）字[2016]03号</w:t>
            </w:r>
          </w:p>
        </w:tc>
        <w:tc>
          <w:tcPr>
            <w:tcW w:w="1057" w:type="dxa"/>
            <w:vAlign w:val="center"/>
          </w:tcPr>
          <w:p>
            <w:pPr>
              <w:snapToGrid w:val="0"/>
              <w:spacing w:beforeLines="0" w:afterLines="0" w:line="240" w:lineRule="auto"/>
              <w:ind w:firstLine="0" w:firstLineChars="0"/>
              <w:jc w:val="center"/>
              <w:rPr>
                <w:rFonts w:eastAsiaTheme="minorEastAsia"/>
                <w:bCs/>
                <w:sz w:val="21"/>
                <w:szCs w:val="21"/>
              </w:rPr>
            </w:pPr>
            <w:r>
              <w:rPr>
                <w:rFonts w:hAnsiTheme="minorEastAsia" w:eastAsiaTheme="minorEastAsia"/>
                <w:kern w:val="0"/>
                <w:sz w:val="21"/>
                <w:szCs w:val="21"/>
              </w:rPr>
              <w:t>2016.4</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2016.10</w:t>
            </w:r>
          </w:p>
        </w:tc>
        <w:tc>
          <w:tcPr>
            <w:tcW w:w="2534" w:type="dxa"/>
            <w:gridSpan w:val="2"/>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企业自主验收</w:t>
            </w:r>
          </w:p>
        </w:tc>
        <w:tc>
          <w:tcPr>
            <w:tcW w:w="1162" w:type="dxa"/>
            <w:vAlign w:val="center"/>
          </w:tcPr>
          <w:p>
            <w:pPr>
              <w:snapToGrid w:val="0"/>
              <w:spacing w:beforeLines="0" w:afterLines="0" w:line="240" w:lineRule="auto"/>
              <w:ind w:firstLine="0" w:firstLineChars="0"/>
              <w:jc w:val="center"/>
              <w:rPr>
                <w:rFonts w:eastAsiaTheme="minorEastAsia"/>
                <w:sz w:val="21"/>
                <w:szCs w:val="21"/>
              </w:rPr>
            </w:pPr>
            <w:r>
              <w:rPr>
                <w:rFonts w:hAnsiTheme="minorEastAsia" w:eastAsiaTheme="minorEastAsia"/>
                <w:kern w:val="0"/>
                <w:sz w:val="21"/>
                <w:szCs w:val="21"/>
              </w:rPr>
              <w:t>2018.3</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6</w:t>
            </w:r>
          </w:p>
        </w:tc>
        <w:tc>
          <w:tcPr>
            <w:tcW w:w="2724" w:type="dxa"/>
            <w:vAlign w:val="center"/>
          </w:tcPr>
          <w:p>
            <w:pPr>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珲春紫金矿业有限公司锅炉房改造建设项目</w:t>
            </w:r>
          </w:p>
        </w:tc>
        <w:tc>
          <w:tcPr>
            <w:tcW w:w="709" w:type="dxa"/>
            <w:vAlign w:val="center"/>
          </w:tcPr>
          <w:p>
            <w:pPr>
              <w:pStyle w:val="16"/>
              <w:snapToGrid w:val="0"/>
              <w:spacing w:beforeLines="0" w:afterLines="0" w:line="240" w:lineRule="auto"/>
              <w:ind w:firstLine="0" w:firstLineChars="0"/>
              <w:rPr>
                <w:rFonts w:ascii="Times New Roman" w:hAnsiTheme="minorEastAsia" w:eastAsiaTheme="minorEastAsia"/>
                <w:sz w:val="21"/>
                <w:szCs w:val="21"/>
              </w:rPr>
            </w:pPr>
            <w:r>
              <w:rPr>
                <w:rFonts w:hint="eastAsia" w:ascii="Times New Roman" w:hAnsiTheme="minorEastAsia" w:eastAsiaTheme="minorEastAsia"/>
                <w:sz w:val="21"/>
                <w:szCs w:val="21"/>
              </w:rPr>
              <w:t>/</w:t>
            </w:r>
          </w:p>
        </w:tc>
        <w:tc>
          <w:tcPr>
            <w:tcW w:w="992" w:type="dxa"/>
            <w:vAlign w:val="center"/>
          </w:tcPr>
          <w:p>
            <w:pPr>
              <w:snapToGrid w:val="0"/>
              <w:spacing w:beforeLines="0" w:afterLines="0" w:line="240" w:lineRule="auto"/>
              <w:ind w:firstLine="0" w:firstLineChars="0"/>
              <w:jc w:val="center"/>
              <w:rPr>
                <w:rFonts w:hAnsiTheme="minorEastAsia" w:eastAsiaTheme="minorEastAsia"/>
                <w:kern w:val="0"/>
                <w:sz w:val="21"/>
                <w:szCs w:val="21"/>
              </w:rPr>
            </w:pPr>
            <w:r>
              <w:rPr>
                <w:rFonts w:hint="eastAsia" w:hAnsiTheme="minorEastAsia" w:eastAsiaTheme="minorEastAsia"/>
                <w:kern w:val="0"/>
                <w:sz w:val="21"/>
                <w:szCs w:val="21"/>
              </w:rPr>
              <w:t>珲春市环境保护局</w:t>
            </w:r>
          </w:p>
        </w:tc>
        <w:tc>
          <w:tcPr>
            <w:tcW w:w="1664" w:type="dxa"/>
            <w:vAlign w:val="center"/>
          </w:tcPr>
          <w:p>
            <w:pPr>
              <w:snapToGrid w:val="0"/>
              <w:spacing w:beforeLines="0" w:afterLines="0" w:line="240" w:lineRule="auto"/>
              <w:ind w:firstLine="0" w:firstLineChars="0"/>
              <w:jc w:val="center"/>
              <w:rPr>
                <w:rFonts w:hAnsiTheme="minorEastAsia" w:eastAsiaTheme="minorEastAsia"/>
                <w:snapToGrid w:val="0"/>
                <w:kern w:val="0"/>
                <w:sz w:val="21"/>
                <w:szCs w:val="21"/>
                <w:lang w:val="zh-CN"/>
              </w:rPr>
            </w:pPr>
            <w:r>
              <w:rPr>
                <w:rFonts w:hint="eastAsia" w:hAnsiTheme="minorEastAsia" w:eastAsiaTheme="minorEastAsia"/>
                <w:snapToGrid w:val="0"/>
                <w:kern w:val="0"/>
                <w:sz w:val="21"/>
                <w:szCs w:val="21"/>
                <w:lang w:val="zh-CN"/>
              </w:rPr>
              <w:t>珲环建（表）字</w:t>
            </w:r>
            <w:r>
              <w:rPr>
                <w:rFonts w:hAnsiTheme="minorEastAsia" w:eastAsiaTheme="minorEastAsia"/>
                <w:snapToGrid w:val="0"/>
                <w:kern w:val="0"/>
                <w:sz w:val="21"/>
                <w:szCs w:val="21"/>
                <w:lang w:val="zh-CN"/>
              </w:rPr>
              <w:t>[2019]05</w:t>
            </w:r>
            <w:r>
              <w:rPr>
                <w:rFonts w:hint="eastAsia" w:hAnsiTheme="minorEastAsia" w:eastAsiaTheme="minorEastAsia"/>
                <w:snapToGrid w:val="0"/>
                <w:kern w:val="0"/>
                <w:sz w:val="21"/>
                <w:szCs w:val="21"/>
                <w:lang w:val="zh-CN"/>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bCs/>
                <w:sz w:val="21"/>
                <w:szCs w:val="21"/>
              </w:rPr>
            </w:pPr>
            <w:r>
              <w:rPr>
                <w:rFonts w:hint="eastAsia" w:ascii="Times New Roman" w:hAnsi="Times New Roman" w:eastAsiaTheme="minorEastAsia"/>
                <w:bCs/>
                <w:sz w:val="21"/>
                <w:szCs w:val="21"/>
              </w:rPr>
              <w:t>2</w:t>
            </w:r>
            <w:r>
              <w:rPr>
                <w:rFonts w:ascii="Times New Roman" w:hAnsi="Times New Roman" w:eastAsiaTheme="minorEastAsia"/>
                <w:bCs/>
                <w:sz w:val="21"/>
                <w:szCs w:val="21"/>
              </w:rPr>
              <w:t>019.3.5</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019.12</w:t>
            </w:r>
          </w:p>
        </w:tc>
        <w:tc>
          <w:tcPr>
            <w:tcW w:w="2534" w:type="dxa"/>
            <w:gridSpan w:val="2"/>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企业自主验收（除固体废物外）</w:t>
            </w:r>
          </w:p>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珲环验固2019020号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019.12.</w:t>
            </w:r>
            <w:r>
              <w:rPr>
                <w:rFonts w:hint="eastAsia" w:ascii="Times New Roman" w:hAnsi="Times New Roman" w:eastAsiaTheme="minorEastAsia"/>
                <w:sz w:val="21"/>
                <w:szCs w:val="21"/>
              </w:rPr>
              <w:t>18</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正常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trPr>
        <w:tc>
          <w:tcPr>
            <w:tcW w:w="503"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7</w:t>
            </w:r>
          </w:p>
        </w:tc>
        <w:tc>
          <w:tcPr>
            <w:tcW w:w="2724" w:type="dxa"/>
            <w:vAlign w:val="center"/>
          </w:tcPr>
          <w:p>
            <w:pPr>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珲春紫金矿业有限公司危险废物贮存库建设项目</w:t>
            </w:r>
          </w:p>
        </w:tc>
        <w:tc>
          <w:tcPr>
            <w:tcW w:w="709" w:type="dxa"/>
            <w:vAlign w:val="center"/>
          </w:tcPr>
          <w:p>
            <w:pPr>
              <w:pStyle w:val="16"/>
              <w:snapToGrid w:val="0"/>
              <w:spacing w:beforeLines="0" w:afterLines="0" w:line="240" w:lineRule="auto"/>
              <w:ind w:firstLine="0" w:firstLineChars="0"/>
              <w:rPr>
                <w:rFonts w:ascii="Times New Roman" w:hAnsiTheme="minorEastAsia" w:eastAsiaTheme="minorEastAsia"/>
                <w:sz w:val="21"/>
                <w:szCs w:val="21"/>
              </w:rPr>
            </w:pPr>
            <w:r>
              <w:rPr>
                <w:rFonts w:hint="eastAsia" w:ascii="Times New Roman" w:hAnsiTheme="minorEastAsia" w:eastAsiaTheme="minorEastAsia"/>
                <w:sz w:val="21"/>
                <w:szCs w:val="21"/>
              </w:rPr>
              <w:t>/</w:t>
            </w:r>
          </w:p>
        </w:tc>
        <w:tc>
          <w:tcPr>
            <w:tcW w:w="992" w:type="dxa"/>
            <w:vAlign w:val="center"/>
          </w:tcPr>
          <w:p>
            <w:pPr>
              <w:snapToGrid w:val="0"/>
              <w:spacing w:beforeLines="0" w:afterLines="0" w:line="240" w:lineRule="auto"/>
              <w:ind w:firstLine="0" w:firstLineChars="0"/>
              <w:jc w:val="center"/>
              <w:rPr>
                <w:rFonts w:hAnsiTheme="minorEastAsia" w:eastAsiaTheme="minorEastAsia"/>
                <w:kern w:val="0"/>
                <w:sz w:val="21"/>
                <w:szCs w:val="21"/>
              </w:rPr>
            </w:pPr>
            <w:r>
              <w:rPr>
                <w:rFonts w:hint="eastAsia" w:hAnsiTheme="minorEastAsia" w:eastAsiaTheme="minorEastAsia"/>
                <w:kern w:val="0"/>
                <w:sz w:val="21"/>
                <w:szCs w:val="21"/>
              </w:rPr>
              <w:t>珲春市环境保护局</w:t>
            </w:r>
          </w:p>
        </w:tc>
        <w:tc>
          <w:tcPr>
            <w:tcW w:w="1664" w:type="dxa"/>
            <w:vAlign w:val="center"/>
          </w:tcPr>
          <w:p>
            <w:pPr>
              <w:snapToGrid w:val="0"/>
              <w:spacing w:beforeLines="0" w:afterLines="0" w:line="240" w:lineRule="auto"/>
              <w:ind w:firstLine="0" w:firstLineChars="0"/>
              <w:jc w:val="center"/>
              <w:rPr>
                <w:rFonts w:hAnsiTheme="minorEastAsia" w:eastAsiaTheme="minorEastAsia"/>
                <w:snapToGrid w:val="0"/>
                <w:kern w:val="0"/>
                <w:sz w:val="21"/>
                <w:szCs w:val="21"/>
                <w:lang w:val="zh-CN"/>
              </w:rPr>
            </w:pPr>
            <w:r>
              <w:rPr>
                <w:rFonts w:hint="eastAsia" w:hAnsiTheme="minorEastAsia" w:eastAsiaTheme="minorEastAsia"/>
                <w:snapToGrid w:val="0"/>
                <w:kern w:val="0"/>
                <w:sz w:val="21"/>
                <w:szCs w:val="21"/>
                <w:lang w:val="zh-CN"/>
              </w:rPr>
              <w:t>珲环建（表）字</w:t>
            </w:r>
            <w:r>
              <w:rPr>
                <w:rFonts w:hAnsiTheme="minorEastAsia" w:eastAsiaTheme="minorEastAsia"/>
                <w:snapToGrid w:val="0"/>
                <w:kern w:val="0"/>
                <w:sz w:val="21"/>
                <w:szCs w:val="21"/>
                <w:lang w:val="zh-CN"/>
              </w:rPr>
              <w:t>[2019]11</w:t>
            </w:r>
            <w:r>
              <w:rPr>
                <w:rFonts w:hint="eastAsia" w:hAnsiTheme="minorEastAsia" w:eastAsiaTheme="minorEastAsia"/>
                <w:snapToGrid w:val="0"/>
                <w:kern w:val="0"/>
                <w:sz w:val="21"/>
                <w:szCs w:val="21"/>
                <w:lang w:val="zh-CN"/>
              </w:rPr>
              <w:t>号</w:t>
            </w:r>
          </w:p>
        </w:tc>
        <w:tc>
          <w:tcPr>
            <w:tcW w:w="1057" w:type="dxa"/>
            <w:vAlign w:val="center"/>
          </w:tcPr>
          <w:p>
            <w:pPr>
              <w:pStyle w:val="16"/>
              <w:snapToGrid w:val="0"/>
              <w:spacing w:beforeLines="0" w:afterLines="0" w:line="240" w:lineRule="auto"/>
              <w:ind w:firstLine="0" w:firstLineChars="0"/>
              <w:rPr>
                <w:rFonts w:ascii="Times New Roman" w:hAnsi="Times New Roman" w:eastAsiaTheme="minorEastAsia"/>
                <w:bCs/>
                <w:sz w:val="21"/>
                <w:szCs w:val="21"/>
              </w:rPr>
            </w:pPr>
            <w:r>
              <w:rPr>
                <w:rFonts w:hint="eastAsia" w:ascii="Times New Roman" w:hAnsi="Times New Roman" w:eastAsiaTheme="minorEastAsia"/>
                <w:bCs/>
                <w:sz w:val="21"/>
                <w:szCs w:val="21"/>
              </w:rPr>
              <w:t>2</w:t>
            </w:r>
            <w:r>
              <w:rPr>
                <w:rFonts w:ascii="Times New Roman" w:hAnsi="Times New Roman" w:eastAsiaTheme="minorEastAsia"/>
                <w:bCs/>
                <w:sz w:val="21"/>
                <w:szCs w:val="21"/>
              </w:rPr>
              <w:t>019</w:t>
            </w:r>
            <w:r>
              <w:rPr>
                <w:rFonts w:hint="eastAsia" w:ascii="Times New Roman" w:hAnsi="Times New Roman" w:eastAsiaTheme="minorEastAsia"/>
                <w:bCs/>
                <w:sz w:val="21"/>
                <w:szCs w:val="21"/>
              </w:rPr>
              <w:t>.</w:t>
            </w:r>
            <w:r>
              <w:rPr>
                <w:rFonts w:ascii="Times New Roman" w:hAnsi="Times New Roman" w:eastAsiaTheme="minorEastAsia"/>
                <w:bCs/>
                <w:sz w:val="21"/>
                <w:szCs w:val="21"/>
              </w:rPr>
              <w:t>4.19</w:t>
            </w:r>
          </w:p>
        </w:tc>
        <w:tc>
          <w:tcPr>
            <w:tcW w:w="110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建筑面积1</w:t>
            </w:r>
            <w:r>
              <w:rPr>
                <w:rFonts w:ascii="Times New Roman" w:hAnsi="Times New Roman" w:eastAsiaTheme="minorEastAsia"/>
                <w:sz w:val="21"/>
                <w:szCs w:val="21"/>
              </w:rPr>
              <w:t>20m</w:t>
            </w:r>
            <w:r>
              <w:rPr>
                <w:rFonts w:ascii="Times New Roman" w:hAnsi="Times New Roman" w:eastAsiaTheme="minorEastAsia"/>
                <w:sz w:val="21"/>
                <w:szCs w:val="21"/>
                <w:vertAlign w:val="superscript"/>
              </w:rPr>
              <w:t>2</w:t>
            </w:r>
            <w:r>
              <w:rPr>
                <w:rFonts w:hint="eastAsia" w:ascii="Times New Roman" w:hAnsi="Times New Roman" w:eastAsiaTheme="minorEastAsia"/>
                <w:sz w:val="21"/>
                <w:szCs w:val="21"/>
              </w:rPr>
              <w:t>，周转能力8</w:t>
            </w:r>
            <w:r>
              <w:rPr>
                <w:rFonts w:ascii="Times New Roman" w:hAnsi="Times New Roman" w:eastAsiaTheme="minorEastAsia"/>
                <w:sz w:val="21"/>
                <w:szCs w:val="21"/>
              </w:rPr>
              <w:t>0t/</w:t>
            </w:r>
            <w:r>
              <w:rPr>
                <w:rFonts w:hint="eastAsia" w:ascii="Times New Roman" w:hAnsi="Times New Roman" w:eastAsiaTheme="minorEastAsia"/>
                <w:sz w:val="21"/>
                <w:szCs w:val="21"/>
              </w:rPr>
              <w:t>年</w:t>
            </w:r>
          </w:p>
        </w:tc>
        <w:tc>
          <w:tcPr>
            <w:tcW w:w="99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019.12</w:t>
            </w:r>
          </w:p>
        </w:tc>
        <w:tc>
          <w:tcPr>
            <w:tcW w:w="2534" w:type="dxa"/>
            <w:gridSpan w:val="2"/>
            <w:vAlign w:val="center"/>
          </w:tcPr>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企业自主验收（处固体废物外）</w:t>
            </w:r>
          </w:p>
          <w:p>
            <w:pPr>
              <w:autoSpaceDE w:val="0"/>
              <w:autoSpaceDN w:val="0"/>
              <w:snapToGrid w:val="0"/>
              <w:spacing w:beforeLines="0" w:afterLines="0" w:line="240" w:lineRule="auto"/>
              <w:ind w:firstLine="0" w:firstLineChars="0"/>
              <w:jc w:val="center"/>
              <w:rPr>
                <w:rFonts w:eastAsiaTheme="minorEastAsia"/>
                <w:kern w:val="0"/>
                <w:sz w:val="21"/>
                <w:szCs w:val="21"/>
              </w:rPr>
            </w:pPr>
            <w:r>
              <w:rPr>
                <w:rFonts w:hint="eastAsia" w:eastAsiaTheme="minorEastAsia"/>
                <w:kern w:val="0"/>
                <w:sz w:val="21"/>
                <w:szCs w:val="21"/>
              </w:rPr>
              <w:t>珲环验固2019019号</w:t>
            </w:r>
          </w:p>
        </w:tc>
        <w:tc>
          <w:tcPr>
            <w:tcW w:w="1162"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019.12.</w:t>
            </w:r>
            <w:r>
              <w:rPr>
                <w:rFonts w:hint="eastAsia" w:ascii="Times New Roman" w:hAnsi="Times New Roman" w:eastAsiaTheme="minorEastAsia"/>
                <w:sz w:val="21"/>
                <w:szCs w:val="21"/>
              </w:rPr>
              <w:t>18</w:t>
            </w:r>
          </w:p>
        </w:tc>
        <w:tc>
          <w:tcPr>
            <w:tcW w:w="731"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正常</w:t>
            </w:r>
          </w:p>
        </w:tc>
      </w:tr>
    </w:tbl>
    <w:p>
      <w:pPr>
        <w:spacing w:before="124" w:after="124"/>
        <w:ind w:firstLine="560"/>
        <w:sectPr>
          <w:headerReference r:id="rId13" w:type="default"/>
          <w:pgSz w:w="16838" w:h="11906" w:orient="landscape"/>
          <w:pgMar w:top="1800" w:right="1440" w:bottom="1800" w:left="1440" w:header="851" w:footer="992" w:gutter="0"/>
          <w:cols w:space="720" w:num="1"/>
          <w:docGrid w:type="lines" w:linePitch="312" w:charSpace="0"/>
        </w:sectPr>
      </w:pPr>
    </w:p>
    <w:p>
      <w:pPr>
        <w:spacing w:before="114" w:beforeLines="30" w:after="114" w:afterLines="30"/>
        <w:ind w:firstLine="480"/>
        <w:rPr>
          <w:rFonts w:eastAsia="仿宋_GB2312"/>
          <w:sz w:val="24"/>
        </w:rPr>
      </w:pPr>
      <w:r>
        <w:rPr>
          <w:rFonts w:hint="eastAsia" w:eastAsia="仿宋_GB2312"/>
          <w:sz w:val="24"/>
        </w:rPr>
        <w:t>曙光金铜矿</w:t>
      </w:r>
      <w:r>
        <w:rPr>
          <w:rFonts w:eastAsia="仿宋_GB2312"/>
          <w:sz w:val="24"/>
        </w:rPr>
        <w:t>环境影响评价批复</w:t>
      </w:r>
      <w:r>
        <w:rPr>
          <w:rFonts w:hint="eastAsia" w:eastAsia="仿宋_GB2312"/>
          <w:sz w:val="24"/>
        </w:rPr>
        <w:t>及竣工</w:t>
      </w:r>
      <w:r>
        <w:rPr>
          <w:rFonts w:eastAsia="仿宋_GB2312"/>
          <w:sz w:val="24"/>
        </w:rPr>
        <w:t>环保验收</w:t>
      </w:r>
      <w:r>
        <w:rPr>
          <w:rFonts w:hint="eastAsia" w:eastAsia="仿宋_GB2312"/>
          <w:sz w:val="24"/>
        </w:rPr>
        <w:t>意见的</w:t>
      </w:r>
      <w:r>
        <w:rPr>
          <w:rFonts w:eastAsia="仿宋_GB2312"/>
          <w:sz w:val="24"/>
        </w:rPr>
        <w:t>落实情况见表4-2</w:t>
      </w:r>
      <w:r>
        <w:rPr>
          <w:rFonts w:hint="eastAsia" w:eastAsia="仿宋_GB2312"/>
          <w:sz w:val="24"/>
        </w:rPr>
        <w:t>及</w:t>
      </w:r>
      <w:r>
        <w:rPr>
          <w:rFonts w:eastAsia="仿宋_GB2312"/>
          <w:sz w:val="24"/>
        </w:rPr>
        <w:t>表4-3。</w:t>
      </w:r>
    </w:p>
    <w:p>
      <w:pPr>
        <w:pStyle w:val="10"/>
        <w:spacing w:beforeLines="0" w:line="240" w:lineRule="auto"/>
      </w:pPr>
      <w:r>
        <w:rPr>
          <w:rFonts w:hint="eastAsia"/>
        </w:rPr>
        <w:t>表4</w:t>
      </w:r>
      <w:r>
        <w:t>-</w:t>
      </w:r>
      <w:r>
        <w:rPr>
          <w:rFonts w:hint="eastAsia"/>
        </w:rPr>
        <w:t>2 环境影响评价批复意见的落实情况</w:t>
      </w:r>
    </w:p>
    <w:tbl>
      <w:tblPr>
        <w:tblStyle w:val="11"/>
        <w:tblW w:w="140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21"/>
        <w:gridCol w:w="708"/>
        <w:gridCol w:w="6237"/>
        <w:gridCol w:w="60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tblHeader/>
          <w:jc w:val="center"/>
        </w:trPr>
        <w:tc>
          <w:tcPr>
            <w:tcW w:w="1021" w:type="dxa"/>
            <w:vAlign w:val="center"/>
          </w:tcPr>
          <w:p>
            <w:pPr>
              <w:adjustRightInd w:val="0"/>
              <w:snapToGrid w:val="0"/>
              <w:spacing w:beforeLines="0" w:afterLines="0" w:line="240" w:lineRule="auto"/>
              <w:ind w:firstLine="0" w:firstLineChars="0"/>
              <w:jc w:val="center"/>
              <w:rPr>
                <w:b/>
                <w:sz w:val="21"/>
                <w:szCs w:val="21"/>
              </w:rPr>
            </w:pPr>
            <w:r>
              <w:rPr>
                <w:b/>
                <w:sz w:val="21"/>
                <w:szCs w:val="21"/>
              </w:rPr>
              <w:t>建设项目名称</w:t>
            </w:r>
          </w:p>
        </w:tc>
        <w:tc>
          <w:tcPr>
            <w:tcW w:w="708" w:type="dxa"/>
            <w:vAlign w:val="center"/>
          </w:tcPr>
          <w:p>
            <w:pPr>
              <w:adjustRightInd w:val="0"/>
              <w:snapToGrid w:val="0"/>
              <w:spacing w:beforeLines="0" w:afterLines="0" w:line="240" w:lineRule="auto"/>
              <w:ind w:firstLine="0" w:firstLineChars="0"/>
              <w:jc w:val="center"/>
              <w:rPr>
                <w:b/>
                <w:sz w:val="21"/>
                <w:szCs w:val="21"/>
              </w:rPr>
            </w:pPr>
            <w:r>
              <w:rPr>
                <w:rFonts w:hint="eastAsia"/>
                <w:b/>
                <w:sz w:val="21"/>
                <w:szCs w:val="21"/>
              </w:rPr>
              <w:t>序号</w:t>
            </w:r>
          </w:p>
        </w:tc>
        <w:tc>
          <w:tcPr>
            <w:tcW w:w="6237" w:type="dxa"/>
            <w:vAlign w:val="center"/>
          </w:tcPr>
          <w:p>
            <w:pPr>
              <w:adjustRightInd w:val="0"/>
              <w:snapToGrid w:val="0"/>
              <w:spacing w:beforeLines="0" w:afterLines="0" w:line="240" w:lineRule="auto"/>
              <w:ind w:firstLine="0" w:firstLineChars="0"/>
              <w:jc w:val="center"/>
              <w:rPr>
                <w:b/>
                <w:sz w:val="21"/>
                <w:szCs w:val="21"/>
              </w:rPr>
            </w:pPr>
            <w:r>
              <w:rPr>
                <w:b/>
                <w:sz w:val="21"/>
                <w:szCs w:val="21"/>
              </w:rPr>
              <w:t>环评批复意见提出的环保要求</w:t>
            </w:r>
          </w:p>
        </w:tc>
        <w:tc>
          <w:tcPr>
            <w:tcW w:w="6048" w:type="dxa"/>
            <w:vAlign w:val="center"/>
          </w:tcPr>
          <w:p>
            <w:pPr>
              <w:adjustRightInd w:val="0"/>
              <w:snapToGrid w:val="0"/>
              <w:spacing w:beforeLines="0" w:afterLines="0" w:line="240" w:lineRule="auto"/>
              <w:ind w:firstLine="0" w:firstLineChars="0"/>
              <w:jc w:val="center"/>
              <w:rPr>
                <w:b/>
                <w:sz w:val="21"/>
                <w:szCs w:val="21"/>
              </w:rPr>
            </w:pPr>
            <w:r>
              <w:rPr>
                <w:b/>
                <w:sz w:val="21"/>
                <w:szCs w:val="21"/>
              </w:rPr>
              <w:t>实际落实情况</w:t>
            </w:r>
          </w:p>
          <w:p>
            <w:pPr>
              <w:adjustRightInd w:val="0"/>
              <w:snapToGrid w:val="0"/>
              <w:spacing w:beforeLines="0" w:afterLines="0" w:line="240" w:lineRule="auto"/>
              <w:ind w:firstLine="0" w:firstLineChars="0"/>
              <w:jc w:val="center"/>
              <w:rPr>
                <w:b/>
                <w:sz w:val="21"/>
                <w:szCs w:val="21"/>
              </w:rPr>
            </w:pPr>
            <w:r>
              <w:rPr>
                <w:b/>
                <w:sz w:val="21"/>
                <w:szCs w:val="21"/>
              </w:rPr>
              <w:t>（未落实的说明原因）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rPr>
                <w:sz w:val="21"/>
                <w:szCs w:val="21"/>
              </w:rPr>
            </w:pPr>
            <w:r>
              <w:rPr>
                <w:sz w:val="21"/>
                <w:szCs w:val="21"/>
              </w:rPr>
              <w:t>珲春紫金矿业有限公司4000吨/日金铜选冶改扩建项目（采选部分）</w:t>
            </w: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落实矿区服务期间和服务期满后具体的工程防护及生态恢复补偿措施和方案。同时应具体落实报告收中提出的“以新带老”的具体措施和方案，并把投资列入本工程投资概算。</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珲春紫金已制定矿山服务期满后工程防护及生态恢复补偿措施和方案，并把投资列入工程投资概算。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生产过程中产生的炉渣、废矿石、尾矿渣和生活垃圾等固体废物须在初步设计阶段进一步落实治理措施和去向，防止产生二次污染和地质灾害。堆场内应按报告书中提出的要求有时进行推平压实，并预留排水通道，确保堆场不产生积水。</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生产生活过程产生的炉渣用于矿区道路平整，废矿石堆放至废石场，尾矿渣堆存于尾矿库，生活垃圾由珲春市环卫部门进行集中填埋。废石场和尾矿库均设有排水设施，确保堆场内不产生积水。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新建燃烧锅炉须采用符合环保要求的产品并经除尘器处理，排放的主要污染物烟尘及二氧化硫的排放浓度应满足《锅炉大气污染物排放标准》（GB13271－2001）中二类区Ⅱ时段标准要求。</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锅炉烟气采用湿式除尘器进行处理，验收监测及日常监督性监测结果表明，锅炉排放烟尘及二氧化硫排放浓度满足《锅炉大气污染物排放标准》（GB13271－2014）中二类区Ⅱ时段标准要求。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4</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破碎、球磨等工段产生的粉尘须经布袋除尘器处理，达到《大气污染物综合排放标准》（GB16297－1996）中二级标准后方可排放。</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201</w:t>
            </w:r>
            <w:r>
              <w:rPr>
                <w:sz w:val="21"/>
                <w:szCs w:val="21"/>
              </w:rPr>
              <w:t>9</w:t>
            </w:r>
            <w:r>
              <w:rPr>
                <w:rFonts w:hint="eastAsia"/>
                <w:sz w:val="21"/>
                <w:szCs w:val="21"/>
              </w:rPr>
              <w:t>年监测报告表明，破碎、球磨等工段产生的粉尘经湿式除尘器处理后，满足</w:t>
            </w:r>
            <w:r>
              <w:rPr>
                <w:sz w:val="21"/>
                <w:szCs w:val="21"/>
              </w:rPr>
              <w:t>《铜、镍、钴工业污染物排放标准》（GB25467-2010）</w:t>
            </w:r>
            <w:r>
              <w:rPr>
                <w:rFonts w:hint="eastAsia"/>
                <w:sz w:val="21"/>
                <w:szCs w:val="21"/>
              </w:rPr>
              <w:t>表5中标准限值后排放。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5</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生产及生活污水须经处理达到《污水综合排放标准》（GB8978－1996）中一级标准后方可排放。</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全厂生产废水均处理后全部回用于生产工艺，生产污水经多介质生物滤池处理后满足《污水综合排放标准》（GB8978－1996）中一级标准后用于厂区绿化，多余部分回用于生产工艺，不外排。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加强炸药的储存及运输过程中的环境管理，防止风险事故发生，并在设计中制定企业防止风险的措施及相应的应急对策。</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矿区炸药在储存及运输过程中制定严格管理制度，有效防止突发风险事故的发生，同时珲春紫金制定了完整有效的《突发环境事件应急预案》。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7</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新选厂建成投产后，原有850t/d选矿厂应予以关停。</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原有850t/d选矿已拆除。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8</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严格执行建设项目环境保护设施与主体工程同时设计、同时施工、同时投产使用的“三同时”制度，项目竣工后，应按规定程序提出生产申请，经环保部门批准后方可投入试生产。</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工程严格执行“三同时”制度，并按规定程序向环保部门提出试生产申请，并通过环保验收。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rPr>
                <w:sz w:val="21"/>
                <w:szCs w:val="21"/>
              </w:rPr>
            </w:pPr>
            <w:r>
              <w:rPr>
                <w:sz w:val="21"/>
                <w:szCs w:val="21"/>
              </w:rPr>
              <w:t>珲春紫金矿业有限公司曙光金铜矿9500t/d改扩建项目</w:t>
            </w: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鉴于本项目占用林地较多，工程设计中须进一步提出减少林地方案，减少生态破坏。</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工程设计中尽量减少占用林地面积，减少对生态破坏。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对采选过程产生的粉尘经高效除尘装置进行处理，确保达到《大气污染物综合排放标准》（GB16297－1996）中二级标准要求，排气筒高度不低于15米。对爆破、运输产生的粉尘采取洒水等措施，防止扬尘污染。</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201</w:t>
            </w:r>
            <w:r>
              <w:rPr>
                <w:sz w:val="21"/>
                <w:szCs w:val="21"/>
              </w:rPr>
              <w:t>9</w:t>
            </w:r>
            <w:r>
              <w:rPr>
                <w:rFonts w:hint="eastAsia"/>
                <w:sz w:val="21"/>
                <w:szCs w:val="21"/>
              </w:rPr>
              <w:t>年监测报告表明，破碎、球磨等工段产生的粉尘经湿式除尘器处理后，满足</w:t>
            </w:r>
            <w:r>
              <w:rPr>
                <w:sz w:val="21"/>
                <w:szCs w:val="21"/>
              </w:rPr>
              <w:t>《铜、镍、钴工业污染物排放标准》（GB25467-2010）</w:t>
            </w:r>
            <w:r>
              <w:rPr>
                <w:rFonts w:hint="eastAsia"/>
                <w:sz w:val="21"/>
                <w:szCs w:val="21"/>
              </w:rPr>
              <w:t>表5中标准限值后排放。采矿及运输道路每天进行洒水降尘，有效降低粉尘无组织排放。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对矿坑涌水经沉淀处理后回用于采矿；选矿废水排至尾矿库沉淀后回用于选矿工艺；建设污水处理站处理生活污水，确保达到《污水综合排放标准》（GB8978－1996）中一级标准要求后排入尾矿库，不得外排。</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矿坑涌水经沉淀处理后回用于选矿工艺；选矿废水排至尾矿库沉淀后回用于选矿工艺；生活污水经多介质生物滤池处理达到《污水综合排放标准》（GB8978－1996）中一级标准要求后用于厂区绿化，多余部分回用于生产工艺，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4</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新建6t/h燃煤锅炉须安装高效除尘脱硫装置，确保达到《锅炉大气污染物排放标准》（GB13271－2001）中二类区Ⅱ时段要求，烟囱不低于35米。</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矿区设两</w:t>
            </w:r>
            <w:r>
              <w:rPr>
                <w:sz w:val="21"/>
                <w:szCs w:val="21"/>
              </w:rPr>
              <w:t>台10t/h热水锅炉</w:t>
            </w:r>
            <w:r>
              <w:rPr>
                <w:rFonts w:hint="eastAsia"/>
                <w:sz w:val="21"/>
                <w:szCs w:val="21"/>
              </w:rPr>
              <w:t>，</w:t>
            </w:r>
            <w:r>
              <w:rPr>
                <w:sz w:val="21"/>
                <w:szCs w:val="21"/>
              </w:rPr>
              <w:t>锅炉烟气经过湿法高效除尘器处理后（除尘效率91%，脱硫效率40%），经高4</w:t>
            </w:r>
            <w:r>
              <w:rPr>
                <w:rFonts w:hint="eastAsia"/>
                <w:sz w:val="21"/>
                <w:szCs w:val="21"/>
              </w:rPr>
              <w:t>5</w:t>
            </w:r>
            <w:r>
              <w:rPr>
                <w:sz w:val="21"/>
                <w:szCs w:val="21"/>
              </w:rPr>
              <w:t>m、内径1.2m烟囱高空达标排放。</w:t>
            </w:r>
            <w:r>
              <w:rPr>
                <w:rFonts w:hint="eastAsia"/>
                <w:sz w:val="21"/>
                <w:szCs w:val="21"/>
              </w:rPr>
              <w:t>2018年曙光金铜矿对矿区采暖锅炉除尘器进行了升级改造，增设了碱法脱硫装置，确保锅炉大气污染物进一步达标排放，经监测，脱硫效率可达90%。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5</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废石场采取减少植被破坏、水土保持和防止泥石流等措施；对使用的火药、雷管等按有关部门规定进行运输、贮存和使用，防止产生环境风险。</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废石场设有拦渣坝；火药、雷管等按有关部门规定进行运输、贮存和使用，有效降低环境风险。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选矿厂破碎机、球磨机等高噪声设备采取减振降噪措施，确保达到《工业企业厂界噪声标准》（GB12348－90）中Ⅰ类区标准要求。</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选矿厂主要设备选用低噪声设备，并采取减振降噪措施；根据珲春市环境保护局对《珲春紫金矿业有限公司曙光金铜矿污染物排放执行标准意见》的批复（珲环发[2012]36号），采矿区、选矿区属于独立于村庄、集镇之外的工业，执行《工业企业厂界环境噪声排放标准》（GB12348－2008）3类区标准要求；生活区、办公区执行《工业企业厂界环境噪声排放标准》（GB12348－2008）2类标准要求。</w:t>
            </w:r>
          </w:p>
          <w:p>
            <w:pPr>
              <w:adjustRightInd w:val="0"/>
              <w:snapToGrid w:val="0"/>
              <w:spacing w:beforeLines="0" w:afterLines="0" w:line="240" w:lineRule="auto"/>
              <w:ind w:firstLine="0" w:firstLineChars="0"/>
              <w:rPr>
                <w:sz w:val="21"/>
                <w:szCs w:val="21"/>
              </w:rPr>
            </w:pPr>
            <w:r>
              <w:rPr>
                <w:rFonts w:hint="eastAsia"/>
                <w:sz w:val="21"/>
                <w:szCs w:val="21"/>
              </w:rPr>
              <w:t>根据曙光金铜矿厂界噪声监测报告，采矿区、选矿区厂界噪声均能满足《工业企业厂界环境噪声排放标准》（GB12348－2008）3类区标准要求，生活区、办公区噪声满足2类标准要求。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7</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提高尾矿库设计等级，应按照《尾矿库安全管理规定》、《一般固体废物贮存、处置场污染控制标准》（GB18599－1990）等的规定进行尾矿库设计、施工和运行管理，防止地下水、扬尘污染和环境风险的发生。</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尾矿库严格按照相关安全管理规定进行设计、施工，并满足《一般固体废物贮存、处置场污染控制标准》（GB18599－2001）的相关规定；同时，曙光金铜矿设有尾矿库管理制度和《重金属污染突发环境事件专项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8</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落实矿山开采、废石场、尾矿库服务期满后的生态恢复和补偿方案，并将其投资列入工程概算。</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曙光金铜矿已制定矿山开采、废石场、尾矿库服务期满后的生态恢复和补偿方案，并将其投资列入工程概算。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9</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加强施工管理，防止扬尘、噪声、垃圾等污染周边环境。</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施工期已加强施工管理，对扬尘、噪声、垃圾进行合理处置，降低对周边环境影响。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10</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加大对原项目生态恢复力度，加强原尾矿库管理，防止产生风险事故。</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对原老尾矿库进行了加固护坡，并覆土绿化。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11</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严格执行建设项目环境保护设施与主体工程同时设计、同时施工、同时投产使用的“三同时”制度，项目竣工后，应按规定程序向我局提出生产申请，经批准后方可投入试生产。</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工程严格执行“三同时”制度，并按规定程序向环保部门提出试生产申请，并通过环保验收。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rPr>
                <w:sz w:val="21"/>
                <w:szCs w:val="21"/>
              </w:rPr>
            </w:pPr>
            <w:r>
              <w:rPr>
                <w:rFonts w:hAnsiTheme="minorEastAsia" w:eastAsiaTheme="minorEastAsia"/>
                <w:sz w:val="21"/>
                <w:szCs w:val="21"/>
              </w:rPr>
              <w:t>珲春紫金矿业有限公司曙光金铜矿废石综合利用项目</w:t>
            </w: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加强施工期环境管理</w:t>
            </w:r>
            <w:r>
              <w:rPr>
                <w:rFonts w:hint="eastAsia"/>
                <w:sz w:val="21"/>
                <w:szCs w:val="21"/>
              </w:rPr>
              <w:t>，</w:t>
            </w:r>
            <w:r>
              <w:rPr>
                <w:sz w:val="21"/>
                <w:szCs w:val="21"/>
              </w:rPr>
              <w:t>防止扬尘</w:t>
            </w:r>
            <w:r>
              <w:rPr>
                <w:rFonts w:hint="eastAsia"/>
                <w:sz w:val="21"/>
                <w:szCs w:val="21"/>
              </w:rPr>
              <w:t>、</w:t>
            </w:r>
            <w:r>
              <w:rPr>
                <w:sz w:val="21"/>
                <w:szCs w:val="21"/>
              </w:rPr>
              <w:t>污水</w:t>
            </w:r>
            <w:r>
              <w:rPr>
                <w:rFonts w:hint="eastAsia"/>
                <w:sz w:val="21"/>
                <w:szCs w:val="21"/>
              </w:rPr>
              <w:t>、</w:t>
            </w:r>
            <w:r>
              <w:rPr>
                <w:sz w:val="21"/>
                <w:szCs w:val="21"/>
              </w:rPr>
              <w:t>噪声</w:t>
            </w:r>
            <w:r>
              <w:rPr>
                <w:rFonts w:hint="eastAsia"/>
                <w:sz w:val="21"/>
                <w:szCs w:val="21"/>
              </w:rPr>
              <w:t>、</w:t>
            </w:r>
            <w:r>
              <w:rPr>
                <w:sz w:val="21"/>
                <w:szCs w:val="21"/>
              </w:rPr>
              <w:t>垃圾等污染周边环境</w:t>
            </w:r>
            <w:r>
              <w:rPr>
                <w:rFonts w:hint="eastAsia"/>
                <w:sz w:val="21"/>
                <w:szCs w:val="21"/>
              </w:rPr>
              <w:t>，</w:t>
            </w:r>
            <w:r>
              <w:rPr>
                <w:sz w:val="21"/>
                <w:szCs w:val="21"/>
              </w:rPr>
              <w:t>减少生态破坏和水土流失</w:t>
            </w:r>
            <w:r>
              <w:rPr>
                <w:rFonts w:hint="eastAsia"/>
                <w:sz w:val="21"/>
                <w:szCs w:val="21"/>
              </w:rPr>
              <w:t>。</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企业在施工期已</w:t>
            </w:r>
            <w:r>
              <w:rPr>
                <w:sz w:val="21"/>
                <w:szCs w:val="21"/>
              </w:rPr>
              <w:t>对易产生扬尘的材料采用苫布遮盖密闭的方式运输；施工现场设洒水车和施工围护</w:t>
            </w:r>
            <w:r>
              <w:rPr>
                <w:rFonts w:hint="eastAsia"/>
                <w:sz w:val="21"/>
                <w:szCs w:val="21"/>
              </w:rPr>
              <w:t>；建设了施工废水临时沉淀池；合理安排施工期间，未在夜间施工；施工期间开展了环境监理工作，对选矿厂及排土场均进行了生态恢复等措施。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生活污水经沉淀后和选矿废水</w:t>
            </w:r>
            <w:r>
              <w:rPr>
                <w:rFonts w:hint="eastAsia"/>
                <w:sz w:val="21"/>
                <w:szCs w:val="21"/>
              </w:rPr>
              <w:t>、</w:t>
            </w:r>
            <w:r>
              <w:rPr>
                <w:sz w:val="21"/>
                <w:szCs w:val="21"/>
              </w:rPr>
              <w:t>实验室废水</w:t>
            </w:r>
            <w:r>
              <w:rPr>
                <w:rFonts w:hint="eastAsia"/>
                <w:sz w:val="21"/>
                <w:szCs w:val="21"/>
              </w:rPr>
              <w:t>、</w:t>
            </w:r>
            <w:r>
              <w:rPr>
                <w:sz w:val="21"/>
                <w:szCs w:val="21"/>
              </w:rPr>
              <w:t>车间冲洗水排入尾矿库</w:t>
            </w:r>
            <w:r>
              <w:rPr>
                <w:rFonts w:hint="eastAsia"/>
                <w:sz w:val="21"/>
                <w:szCs w:val="21"/>
              </w:rPr>
              <w:t>，</w:t>
            </w:r>
            <w:r>
              <w:rPr>
                <w:sz w:val="21"/>
                <w:szCs w:val="21"/>
              </w:rPr>
              <w:t>经自然曝气</w:t>
            </w:r>
            <w:r>
              <w:rPr>
                <w:rFonts w:hint="eastAsia"/>
                <w:sz w:val="21"/>
                <w:szCs w:val="21"/>
              </w:rPr>
              <w:t>、</w:t>
            </w:r>
            <w:r>
              <w:rPr>
                <w:sz w:val="21"/>
                <w:szCs w:val="21"/>
              </w:rPr>
              <w:t>降解</w:t>
            </w:r>
            <w:r>
              <w:rPr>
                <w:rFonts w:hint="eastAsia"/>
                <w:sz w:val="21"/>
                <w:szCs w:val="21"/>
              </w:rPr>
              <w:t>、</w:t>
            </w:r>
            <w:r>
              <w:rPr>
                <w:sz w:val="21"/>
                <w:szCs w:val="21"/>
              </w:rPr>
              <w:t>沉淀净化后全部回用</w:t>
            </w:r>
            <w:r>
              <w:rPr>
                <w:rFonts w:hint="eastAsia"/>
                <w:sz w:val="21"/>
                <w:szCs w:val="21"/>
              </w:rPr>
              <w:t>，</w:t>
            </w:r>
            <w:r>
              <w:rPr>
                <w:sz w:val="21"/>
                <w:szCs w:val="21"/>
              </w:rPr>
              <w:t>排土场淋溶水收集</w:t>
            </w:r>
            <w:r>
              <w:rPr>
                <w:rFonts w:hint="eastAsia"/>
                <w:sz w:val="21"/>
                <w:szCs w:val="21"/>
              </w:rPr>
              <w:t>沉淀后全部回用不外排，不增设排污口，合理选线、敷设尾矿浆和废水收集、输送管道，管道和池体采取有效防渗漏和安全防范措施，防止污染环境。</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企业</w:t>
            </w:r>
            <w:r>
              <w:rPr>
                <w:sz w:val="21"/>
                <w:szCs w:val="21"/>
              </w:rPr>
              <w:t>生活污水经</w:t>
            </w:r>
            <w:r>
              <w:rPr>
                <w:rFonts w:hint="eastAsia"/>
                <w:sz w:val="21"/>
                <w:szCs w:val="21"/>
              </w:rPr>
              <w:t>污水处理系统处理达标后用于绿化喷淋或反回砂泵站循环利用，不外排。</w:t>
            </w:r>
            <w:r>
              <w:rPr>
                <w:sz w:val="21"/>
                <w:szCs w:val="21"/>
              </w:rPr>
              <w:t>选矿废水</w:t>
            </w:r>
            <w:r>
              <w:rPr>
                <w:rFonts w:hint="eastAsia"/>
                <w:sz w:val="21"/>
                <w:szCs w:val="21"/>
              </w:rPr>
              <w:t>、</w:t>
            </w:r>
            <w:r>
              <w:rPr>
                <w:sz w:val="21"/>
                <w:szCs w:val="21"/>
              </w:rPr>
              <w:t>实验室废水</w:t>
            </w:r>
            <w:r>
              <w:rPr>
                <w:rFonts w:hint="eastAsia"/>
                <w:sz w:val="21"/>
                <w:szCs w:val="21"/>
              </w:rPr>
              <w:t>、</w:t>
            </w:r>
            <w:r>
              <w:rPr>
                <w:sz w:val="21"/>
                <w:szCs w:val="21"/>
              </w:rPr>
              <w:t>车间冲洗水</w:t>
            </w:r>
            <w:r>
              <w:rPr>
                <w:rFonts w:hint="eastAsia"/>
                <w:sz w:val="21"/>
                <w:szCs w:val="21"/>
              </w:rPr>
              <w:t>一起</w:t>
            </w:r>
            <w:r>
              <w:rPr>
                <w:sz w:val="21"/>
                <w:szCs w:val="21"/>
              </w:rPr>
              <w:t>排入尾矿库</w:t>
            </w:r>
            <w:r>
              <w:rPr>
                <w:rFonts w:hint="eastAsia"/>
                <w:sz w:val="21"/>
                <w:szCs w:val="21"/>
              </w:rPr>
              <w:t>，</w:t>
            </w:r>
            <w:r>
              <w:rPr>
                <w:sz w:val="21"/>
                <w:szCs w:val="21"/>
              </w:rPr>
              <w:t>经自然曝气</w:t>
            </w:r>
            <w:r>
              <w:rPr>
                <w:rFonts w:hint="eastAsia"/>
                <w:sz w:val="21"/>
                <w:szCs w:val="21"/>
              </w:rPr>
              <w:t>、</w:t>
            </w:r>
            <w:r>
              <w:rPr>
                <w:sz w:val="21"/>
                <w:szCs w:val="21"/>
              </w:rPr>
              <w:t>降解</w:t>
            </w:r>
            <w:r>
              <w:rPr>
                <w:rFonts w:hint="eastAsia"/>
                <w:sz w:val="21"/>
                <w:szCs w:val="21"/>
              </w:rPr>
              <w:t>、</w:t>
            </w:r>
            <w:r>
              <w:rPr>
                <w:sz w:val="21"/>
                <w:szCs w:val="21"/>
              </w:rPr>
              <w:t>沉淀净化后全部回用</w:t>
            </w:r>
            <w:r>
              <w:rPr>
                <w:rFonts w:hint="eastAsia"/>
                <w:sz w:val="21"/>
                <w:szCs w:val="21"/>
              </w:rPr>
              <w:t>，</w:t>
            </w:r>
            <w:r>
              <w:rPr>
                <w:sz w:val="21"/>
                <w:szCs w:val="21"/>
              </w:rPr>
              <w:t>排土场淋溶水收集</w:t>
            </w:r>
            <w:r>
              <w:rPr>
                <w:rFonts w:hint="eastAsia"/>
                <w:sz w:val="21"/>
                <w:szCs w:val="21"/>
              </w:rPr>
              <w:t>沉淀后全部回用不外排。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尾矿砂用泵送至新建尾矿库中堆存</w:t>
            </w:r>
            <w:r>
              <w:rPr>
                <w:rFonts w:hint="eastAsia"/>
                <w:sz w:val="21"/>
                <w:szCs w:val="21"/>
              </w:rPr>
              <w:t>，</w:t>
            </w:r>
            <w:r>
              <w:rPr>
                <w:sz w:val="21"/>
                <w:szCs w:val="21"/>
              </w:rPr>
              <w:t>新建尾矿库严格按照</w:t>
            </w:r>
            <w:r>
              <w:rPr>
                <w:rFonts w:hint="eastAsia"/>
                <w:sz w:val="21"/>
                <w:szCs w:val="21"/>
              </w:rPr>
              <w:t>《</w:t>
            </w:r>
            <w:r>
              <w:rPr>
                <w:sz w:val="21"/>
                <w:szCs w:val="21"/>
              </w:rPr>
              <w:t>尾矿库安全监督管理规定</w:t>
            </w:r>
            <w:r>
              <w:rPr>
                <w:rFonts w:hint="eastAsia"/>
                <w:sz w:val="21"/>
                <w:szCs w:val="21"/>
              </w:rPr>
              <w:t>》、《</w:t>
            </w:r>
            <w:r>
              <w:rPr>
                <w:sz w:val="21"/>
                <w:szCs w:val="21"/>
              </w:rPr>
              <w:t>防治尾矿污染环境管理规定</w:t>
            </w:r>
            <w:r>
              <w:rPr>
                <w:rFonts w:hint="eastAsia"/>
                <w:sz w:val="21"/>
                <w:szCs w:val="21"/>
              </w:rPr>
              <w:t>》</w:t>
            </w:r>
            <w:r>
              <w:rPr>
                <w:sz w:val="21"/>
                <w:szCs w:val="21"/>
              </w:rPr>
              <w:t>和</w:t>
            </w:r>
            <w:r>
              <w:rPr>
                <w:rFonts w:hint="eastAsia"/>
                <w:sz w:val="21"/>
                <w:szCs w:val="21"/>
              </w:rPr>
              <w:t>《</w:t>
            </w:r>
            <w:r>
              <w:rPr>
                <w:sz w:val="21"/>
                <w:szCs w:val="21"/>
              </w:rPr>
              <w:t>一般固体废物贮存</w:t>
            </w:r>
            <w:r>
              <w:rPr>
                <w:rFonts w:hint="eastAsia"/>
                <w:sz w:val="21"/>
                <w:szCs w:val="21"/>
              </w:rPr>
              <w:t>、</w:t>
            </w:r>
            <w:r>
              <w:rPr>
                <w:sz w:val="21"/>
                <w:szCs w:val="21"/>
              </w:rPr>
              <w:t>处置场污染控制标准</w:t>
            </w:r>
            <w:r>
              <w:rPr>
                <w:rFonts w:hint="eastAsia"/>
                <w:sz w:val="21"/>
                <w:szCs w:val="21"/>
              </w:rPr>
              <w:t>》（GB18599-2001）Ⅱ类场要求，进行尾矿设施的设计、施工和运行管理，采取完善的防渗、集排水措施和安全防范措施，防止环境污染。</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企业产生的尾矿砂均泵送至新建尾矿库中堆存，</w:t>
            </w:r>
            <w:r>
              <w:rPr>
                <w:sz w:val="21"/>
                <w:szCs w:val="21"/>
              </w:rPr>
              <w:t>新建尾矿库严格按照</w:t>
            </w:r>
            <w:r>
              <w:rPr>
                <w:rFonts w:hint="eastAsia"/>
                <w:sz w:val="21"/>
                <w:szCs w:val="21"/>
              </w:rPr>
              <w:t>《</w:t>
            </w:r>
            <w:r>
              <w:rPr>
                <w:sz w:val="21"/>
                <w:szCs w:val="21"/>
              </w:rPr>
              <w:t>尾矿库安全监督管理规定</w:t>
            </w:r>
            <w:r>
              <w:rPr>
                <w:rFonts w:hint="eastAsia"/>
                <w:sz w:val="21"/>
                <w:szCs w:val="21"/>
              </w:rPr>
              <w:t>》、《</w:t>
            </w:r>
            <w:r>
              <w:rPr>
                <w:sz w:val="21"/>
                <w:szCs w:val="21"/>
              </w:rPr>
              <w:t>防治尾矿污染环境管理规定</w:t>
            </w:r>
            <w:r>
              <w:rPr>
                <w:rFonts w:hint="eastAsia"/>
                <w:sz w:val="21"/>
                <w:szCs w:val="21"/>
              </w:rPr>
              <w:t>》</w:t>
            </w:r>
            <w:r>
              <w:rPr>
                <w:sz w:val="21"/>
                <w:szCs w:val="21"/>
              </w:rPr>
              <w:t>和</w:t>
            </w:r>
            <w:r>
              <w:rPr>
                <w:rFonts w:hint="eastAsia"/>
                <w:sz w:val="21"/>
                <w:szCs w:val="21"/>
              </w:rPr>
              <w:t>《</w:t>
            </w:r>
            <w:r>
              <w:rPr>
                <w:sz w:val="21"/>
                <w:szCs w:val="21"/>
              </w:rPr>
              <w:t>一般固体废物贮存</w:t>
            </w:r>
            <w:r>
              <w:rPr>
                <w:rFonts w:hint="eastAsia"/>
                <w:sz w:val="21"/>
                <w:szCs w:val="21"/>
              </w:rPr>
              <w:t>、</w:t>
            </w:r>
            <w:r>
              <w:rPr>
                <w:sz w:val="21"/>
                <w:szCs w:val="21"/>
              </w:rPr>
              <w:t>处置场污染控制标准</w:t>
            </w:r>
            <w:r>
              <w:rPr>
                <w:rFonts w:hint="eastAsia"/>
                <w:sz w:val="21"/>
                <w:szCs w:val="21"/>
              </w:rPr>
              <w:t>》（GB18599-2001）Ⅰ类场要求，进行尾矿设施的设计、施工和运行管理，采取了完善的集排水措施和安全防范措施，有效防止环境污染。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4</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综合利用废石</w:t>
            </w:r>
            <w:r>
              <w:rPr>
                <w:rFonts w:hint="eastAsia"/>
                <w:sz w:val="21"/>
                <w:szCs w:val="21"/>
              </w:rPr>
              <w:t>（原料）在破碎、筛分、输送过程中的各产粉尘设备安装密闭抽风罩，并安装高效除尘装置，选厂粉尘处理后，通过15m高排气筒排放，严格控制无组织排放，确保达到《铜、镍、钴工业污染物排放标准》中（GB25467-2010）中标5和表6排放标准要求，回收粉尘回用于生产。</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sz w:val="21"/>
                <w:szCs w:val="21"/>
              </w:rPr>
              <w:t>综合利用废石</w:t>
            </w:r>
            <w:r>
              <w:rPr>
                <w:rFonts w:hint="eastAsia"/>
                <w:sz w:val="21"/>
                <w:szCs w:val="21"/>
              </w:rPr>
              <w:t>选厂（一选厂）共有三段工序产生粉尘，分别为粗碎工序、中碎细碎工序、筛分工序，每段工序均设置一套粉尘处理装置。但筛分工序产尘量较大，为了提高除尘效率，对该工序安装二合一除尘系统，即一套除尘系统，两台除尘设备。粉尘经处理后均通过15m高排气筒排放。并定期对排土场进行洒水降尘，有效减少了粉尘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5</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新建排土场按照《一般工业固体废弃物贮存、处置场污染控制标准》（GB18599-2001）建设，做好稳定处理，采取抑尘措施防治扬尘污染，采取完善的集排水措施和安全防范措施，防止二次污染和诱发地质灾害，废石用于充填井下采空区，减轻采空区塌陷，剩余部分综合利用。</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企业已对排土场边坡的坡脚进行稳定加固，定期对排土场进行洒水降尘，防治扬尘污染。废石全部用于充填井下采空区，剩余部分综合利用。新建排土场500m范围内无集中居民区。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6</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加强对现有锅炉管理</w:t>
            </w:r>
            <w:r>
              <w:rPr>
                <w:rFonts w:hint="eastAsia"/>
                <w:sz w:val="21"/>
                <w:szCs w:val="21"/>
              </w:rPr>
              <w:t>，</w:t>
            </w:r>
            <w:r>
              <w:rPr>
                <w:sz w:val="21"/>
                <w:szCs w:val="21"/>
              </w:rPr>
              <w:t>锅炉烟气经高效脱硫除尘器处理后</w:t>
            </w:r>
            <w:r>
              <w:rPr>
                <w:rFonts w:hint="eastAsia"/>
                <w:sz w:val="21"/>
                <w:szCs w:val="21"/>
              </w:rPr>
              <w:t>，</w:t>
            </w:r>
            <w:r>
              <w:rPr>
                <w:sz w:val="21"/>
                <w:szCs w:val="21"/>
              </w:rPr>
              <w:t>通过</w:t>
            </w:r>
            <w:r>
              <w:rPr>
                <w:rFonts w:hint="eastAsia"/>
                <w:sz w:val="21"/>
                <w:szCs w:val="21"/>
              </w:rPr>
              <w:t>40米高烟囱排放，确保达到《锅炉大气污染物排放标准》（GB13271-2001）中二类区Ⅱ时段标准要求。采取减排、降噪、隔声措施，确保厂界达到《工业企业厂界环境噪声排放标准》（GB12348-2008）中3类区标准要求</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矿区设两</w:t>
            </w:r>
            <w:r>
              <w:rPr>
                <w:sz w:val="21"/>
                <w:szCs w:val="21"/>
              </w:rPr>
              <w:t>台10t/h热水锅炉</w:t>
            </w:r>
            <w:r>
              <w:rPr>
                <w:rFonts w:hint="eastAsia"/>
                <w:sz w:val="21"/>
                <w:szCs w:val="21"/>
              </w:rPr>
              <w:t>，</w:t>
            </w:r>
            <w:r>
              <w:rPr>
                <w:sz w:val="21"/>
                <w:szCs w:val="21"/>
              </w:rPr>
              <w:t>锅炉烟气经过高效</w:t>
            </w:r>
            <w:r>
              <w:rPr>
                <w:rFonts w:hint="eastAsia"/>
                <w:sz w:val="21"/>
                <w:szCs w:val="21"/>
              </w:rPr>
              <w:t>脉冲布袋</w:t>
            </w:r>
            <w:r>
              <w:rPr>
                <w:sz w:val="21"/>
                <w:szCs w:val="21"/>
              </w:rPr>
              <w:t>除尘器处理后，经高4</w:t>
            </w:r>
            <w:r>
              <w:rPr>
                <w:rFonts w:hint="eastAsia"/>
                <w:sz w:val="21"/>
                <w:szCs w:val="21"/>
              </w:rPr>
              <w:t>5</w:t>
            </w:r>
            <w:r>
              <w:rPr>
                <w:sz w:val="21"/>
                <w:szCs w:val="21"/>
              </w:rPr>
              <w:t>m、内径1.2m烟囱高空达标排放。</w:t>
            </w:r>
          </w:p>
          <w:p>
            <w:pPr>
              <w:adjustRightInd w:val="0"/>
              <w:snapToGrid w:val="0"/>
              <w:spacing w:beforeLines="0" w:afterLines="0" w:line="240" w:lineRule="auto"/>
              <w:ind w:firstLine="0" w:firstLineChars="0"/>
              <w:rPr>
                <w:sz w:val="21"/>
                <w:szCs w:val="21"/>
              </w:rPr>
            </w:pPr>
            <w:r>
              <w:rPr>
                <w:rFonts w:hint="eastAsia"/>
                <w:sz w:val="21"/>
                <w:szCs w:val="21"/>
              </w:rPr>
              <w:t>采取减排、降噪、隔声措施，厂界达到《工业企业厂界环境噪声排放标准》（GB12348-2008）中3类区标准要求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7</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按照环保部</w:t>
            </w:r>
            <w:r>
              <w:rPr>
                <w:rFonts w:hint="eastAsia"/>
                <w:sz w:val="21"/>
                <w:szCs w:val="21"/>
              </w:rPr>
              <w:t>《</w:t>
            </w:r>
            <w:r>
              <w:rPr>
                <w:sz w:val="21"/>
                <w:szCs w:val="21"/>
              </w:rPr>
              <w:t>关于进一步加强环境影响评价管理防范环境风险的通知</w:t>
            </w:r>
            <w:r>
              <w:rPr>
                <w:rFonts w:hint="eastAsia"/>
                <w:sz w:val="21"/>
                <w:szCs w:val="21"/>
              </w:rPr>
              <w:t>》（环发[</w:t>
            </w:r>
            <w:r>
              <w:rPr>
                <w:sz w:val="21"/>
                <w:szCs w:val="21"/>
              </w:rPr>
              <w:t>2012</w:t>
            </w:r>
            <w:r>
              <w:rPr>
                <w:rFonts w:hint="eastAsia"/>
                <w:sz w:val="21"/>
                <w:szCs w:val="21"/>
              </w:rPr>
              <w:t>]</w:t>
            </w:r>
            <w:r>
              <w:rPr>
                <w:sz w:val="21"/>
                <w:szCs w:val="21"/>
              </w:rPr>
              <w:t>77号</w:t>
            </w:r>
            <w:r>
              <w:rPr>
                <w:rFonts w:hint="eastAsia"/>
                <w:sz w:val="21"/>
                <w:szCs w:val="21"/>
              </w:rPr>
              <w:t>）和《尾矿库环境应急管理工作指南（试行）》要求，落实各项环境应急防范措施，建立尾矿库三级防控体系，制定环境应急预案，开展环境应急演练，防止环境污染事故的发发生，按照有关规定开展环境影响后评价，进一步完善环境风险防范措施。</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企业已按有关要求，建设完善了环境应急“三级”防控体系和设施，在尾矿库下游河道适当位置设计并建造拦截吸附坝、滞污塘三级（流域级）防控设施，防止非正常工况或事故状态下超标废水外排。同时每年开展尾矿库防洪应急救援演练，根据演练结果完善应急预案与环境风险防范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rPr>
                <w:sz w:val="21"/>
                <w:szCs w:val="21"/>
              </w:rPr>
            </w:pPr>
            <w:r>
              <w:rPr>
                <w:rFonts w:hint="eastAsia" w:ascii="宋体" w:hAnsi="Calibri" w:cs="宋体"/>
                <w:kern w:val="0"/>
                <w:sz w:val="21"/>
                <w:szCs w:val="21"/>
              </w:rPr>
              <w:t>珲春紫金矿业有限公司</w:t>
            </w:r>
            <w:r>
              <w:rPr>
                <w:kern w:val="0"/>
                <w:sz w:val="21"/>
                <w:szCs w:val="21"/>
              </w:rPr>
              <w:t>200m</w:t>
            </w:r>
            <w:r>
              <w:rPr>
                <w:kern w:val="0"/>
                <w:sz w:val="21"/>
                <w:szCs w:val="21"/>
                <w:vertAlign w:val="superscript"/>
              </w:rPr>
              <w:t>3</w:t>
            </w:r>
            <w:r>
              <w:rPr>
                <w:kern w:val="0"/>
                <w:sz w:val="21"/>
                <w:szCs w:val="21"/>
              </w:rPr>
              <w:t xml:space="preserve">/d </w:t>
            </w:r>
            <w:r>
              <w:rPr>
                <w:rFonts w:hint="eastAsia" w:ascii="宋体" w:hAnsi="Calibri" w:cs="宋体"/>
                <w:kern w:val="0"/>
                <w:sz w:val="21"/>
                <w:szCs w:val="21"/>
              </w:rPr>
              <w:t>生活污水生态处理工程</w:t>
            </w: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加强施工期环境管理，严格控制施工区域，科学安排施工作业时间，优先选用低噪声的施工设备。采取道路洒水、运输车辆覆盖等措施减少施工扬尘，妥善处理处置施工废料。</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施工过程中采取道路洒水、运输车辆覆盖等措施减少施工扬尘，施工选用了低噪声设备，妥善处置了施工废物。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ascii="宋体" w:hAnsi="Calibri" w:cs="宋体"/>
                <w:kern w:val="0"/>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加强污水处理期间运行环节的管理，处理后要满足《城镇污水处理厂排放标准》（GB18918-2002）中的一级A标准要求，处理后的生活污水排入加用水池，用于厂内绿化及道路降尘，不得外排。</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经珲春市环境保护监测站验收监测，处理后的废水均符合排放标准，同时公司设置了回水管线、绿化喷淋装置，处理后的生活污水排入回用水池，用于厂区绿化及道路降尘，不外排。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ascii="宋体" w:hAnsi="Calibri" w:cs="宋体"/>
                <w:kern w:val="0"/>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3</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对产生臭气的调节池、污泥池要进行加盖密封，并定期检查，使所排放的恶臭污染物浓度满足《城镇污水处理厂排放标准》（GB18918-2002）中城镇污水处理厂废气排放二级标准和《恶臭污染物排放标准》（GB14554-93）二级标准要求。</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 xml:space="preserve">运行中对产生臭气的调节池、污泥池进行了加盖，产生的臭气量很少，未进行监测。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ascii="宋体" w:hAnsi="Calibri" w:cs="宋体"/>
                <w:kern w:val="0"/>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4</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采取相应的减振、隔声、消声、吸声、合理布局等降噪措施，确保营运期噪声满足《工业企业厂界环境噪声排放标准》（GB12348-2008）中2类功能区标准要求。</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经珲春市环境保护监测站验收监测，营运期噪声满足《工业企业厂界环境噪声排放标准》（GB12348-2008）中2类功能区标准要求。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ascii="宋体" w:hAnsi="Calibri" w:cs="宋体"/>
                <w:kern w:val="0"/>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5</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项目运营过程中产生的格栅渣和剩余污泥，要定期分类收集，按相关要求妥善处理后用于厂内绿化肥料利用。</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运营过程中产生的格栅渣和剩余污泥，定期分类收集，随生活垃圾处置。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rPr>
                <w:sz w:val="21"/>
                <w:szCs w:val="21"/>
              </w:rPr>
            </w:pPr>
            <w:r>
              <w:rPr>
                <w:rFonts w:hAnsiTheme="minorEastAsia" w:eastAsiaTheme="minorEastAsia"/>
                <w:sz w:val="21"/>
                <w:szCs w:val="21"/>
              </w:rPr>
              <w:t>珲春紫金矿业有限公司曙光金铜矿9500t/d改扩建项目尾矿库副坝及排水工程</w:t>
            </w: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认真落实水土保持和生态保护措施减少生态破坏和水土流失。</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sz w:val="21"/>
                <w:szCs w:val="21"/>
              </w:rPr>
              <w:t>在施工过程中落实了水土保持及生态保护措施。项目施工临时占地未超出规划占地面积。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hAnsiTheme="minorEastAsia" w:eastAsiaTheme="minorEastAsia"/>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采取有效措施，确保施工场界噪声达到《建筑施工场界环境噪声排放标准》（GB12523-2011）相关标准</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sz w:val="21"/>
                <w:szCs w:val="21"/>
              </w:rPr>
              <w:t>项目在施工过程中选用低噪设备、机械、车辆。施工场界噪声满足《建筑施工场界环境噪声排放标准》（GB12523-2011）相关标准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hAnsiTheme="minorEastAsia" w:eastAsiaTheme="minorEastAsia"/>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3</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施工废水、生活废水须经处理后达标排放</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sz w:val="21"/>
                <w:szCs w:val="21"/>
              </w:rPr>
              <w:t>污水经沉淀等一级处理后再送入尾矿库澄清与尾矿水混合后回用。生产废水沉淀后回用。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rFonts w:hAnsiTheme="minorEastAsia" w:eastAsiaTheme="minorEastAsia"/>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sz w:val="21"/>
                <w:szCs w:val="21"/>
              </w:rPr>
              <w:t>4</w:t>
            </w:r>
          </w:p>
        </w:tc>
        <w:tc>
          <w:tcPr>
            <w:tcW w:w="6237" w:type="dxa"/>
            <w:vAlign w:val="center"/>
          </w:tcPr>
          <w:p>
            <w:pPr>
              <w:adjustRightInd w:val="0"/>
              <w:snapToGrid w:val="0"/>
              <w:spacing w:beforeLines="0" w:afterLines="0" w:line="240" w:lineRule="auto"/>
              <w:ind w:firstLine="0" w:firstLineChars="0"/>
              <w:rPr>
                <w:sz w:val="21"/>
                <w:szCs w:val="21"/>
              </w:rPr>
            </w:pPr>
            <w:r>
              <w:rPr>
                <w:sz w:val="21"/>
                <w:szCs w:val="21"/>
              </w:rPr>
              <w:t>有效控制施工扬尘，妥善处置施工废土、废渣和固体废物，防止施工噪声、废水、废气、扬尘、固废等污染周围环境。</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sz w:val="21"/>
                <w:szCs w:val="21"/>
              </w:rPr>
              <w:t>施工场地在晴天每天洒水4~5次，施工场地内运输通道及时清扫、冲洗，运输车辆进出施工场地和敏感点路段应低速行驶。避免起尘材料的露天堆放，所有来往施工场地的多尘物料均用帆布覆盖。遇有4级以上大风天气，停止土方施工，并做好遮掩工作。</w:t>
            </w:r>
          </w:p>
          <w:p>
            <w:pPr>
              <w:adjustRightInd w:val="0"/>
              <w:snapToGrid w:val="0"/>
              <w:spacing w:beforeLines="0" w:afterLines="0" w:line="240" w:lineRule="auto"/>
              <w:ind w:firstLine="0" w:firstLineChars="0"/>
              <w:rPr>
                <w:sz w:val="21"/>
                <w:szCs w:val="21"/>
              </w:rPr>
            </w:pPr>
            <w:r>
              <w:rPr>
                <w:sz w:val="21"/>
                <w:szCs w:val="21"/>
              </w:rPr>
              <w:t>弃土均用于尾矿坝护坡植被。</w:t>
            </w:r>
          </w:p>
          <w:p>
            <w:pPr>
              <w:adjustRightInd w:val="0"/>
              <w:snapToGrid w:val="0"/>
              <w:spacing w:beforeLines="0" w:afterLines="0" w:line="240" w:lineRule="auto"/>
              <w:ind w:firstLine="0" w:firstLineChars="0"/>
              <w:rPr>
                <w:sz w:val="21"/>
                <w:szCs w:val="21"/>
              </w:rPr>
            </w:pPr>
            <w:r>
              <w:rPr>
                <w:sz w:val="21"/>
                <w:szCs w:val="21"/>
              </w:rPr>
              <w:t>施工期生活垃圾要求分类存放，可回收物质回收利用。施工营地垃圾应集中运送到垃圾场统一处理。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jc w:val="center"/>
              <w:rPr>
                <w:sz w:val="21"/>
                <w:szCs w:val="21"/>
              </w:rPr>
            </w:pPr>
            <w:r>
              <w:rPr>
                <w:rFonts w:hint="eastAsia" w:hAnsiTheme="minorEastAsia" w:eastAsiaTheme="minorEastAsia"/>
                <w:sz w:val="21"/>
                <w:szCs w:val="21"/>
              </w:rPr>
              <w:t>珲春紫金矿业有限公司锅炉改造项目</w:t>
            </w:r>
          </w:p>
        </w:tc>
        <w:tc>
          <w:tcPr>
            <w:tcW w:w="708" w:type="dxa"/>
            <w:vAlign w:val="center"/>
          </w:tcPr>
          <w:p>
            <w:pPr>
              <w:adjustRightInd w:val="0"/>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1</w:t>
            </w:r>
          </w:p>
        </w:tc>
        <w:tc>
          <w:tcPr>
            <w:tcW w:w="6237"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产生的软化系统排污水、锅炉排污水，全部回用不得外排。</w:t>
            </w:r>
          </w:p>
        </w:tc>
        <w:tc>
          <w:tcPr>
            <w:tcW w:w="6048" w:type="dxa"/>
            <w:vAlign w:val="center"/>
          </w:tcPr>
          <w:p>
            <w:pPr>
              <w:adjustRightInd w:val="0"/>
              <w:snapToGrid w:val="0"/>
              <w:spacing w:beforeLines="0" w:afterLines="0" w:line="240" w:lineRule="auto"/>
              <w:ind w:firstLine="0" w:firstLineChars="0"/>
              <w:jc w:val="left"/>
              <w:rPr>
                <w:rFonts w:hAnsiTheme="minorEastAsia" w:eastAsiaTheme="minorEastAsia"/>
                <w:sz w:val="21"/>
                <w:szCs w:val="21"/>
              </w:rPr>
            </w:pPr>
            <w:r>
              <w:rPr>
                <w:rFonts w:hint="eastAsia" w:hAnsiTheme="minorEastAsia" w:eastAsiaTheme="minorEastAsia"/>
                <w:sz w:val="21"/>
                <w:szCs w:val="21"/>
              </w:rPr>
              <w:t>已落实。</w:t>
            </w:r>
          </w:p>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生产废水全部回用于除渣系统，不外排。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2</w:t>
            </w:r>
          </w:p>
        </w:tc>
        <w:tc>
          <w:tcPr>
            <w:tcW w:w="6237"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产生的烟气经高效脉冲布袋除尘器+脱硫塔处理后，使排放的烟气浓度满足《锅炉大气污染排放标准》（GB13271-2014）中表2中燃煤炉污染物排放标准的要求，经45m烟囱高空排放。</w:t>
            </w:r>
          </w:p>
        </w:tc>
        <w:tc>
          <w:tcPr>
            <w:tcW w:w="6048"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已落实。</w:t>
            </w:r>
          </w:p>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产生的烟气经高效脉冲布袋除尘器+脱硫塔处理后，排放的烟气浓度已满足《锅炉大气污染排放标准》（GB13271-2014）中表2中燃煤炉污染物排放标准的要求，经45m烟囱高空排放。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3</w:t>
            </w:r>
          </w:p>
        </w:tc>
        <w:tc>
          <w:tcPr>
            <w:tcW w:w="6237"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选用的低噪音的水泵、风机等设备，合理布局，采用有效的减振、降噪、等措施，排放的噪声应满足《工业企业厂界环境噪声排放标准》（GB12348-2008）中3类区标准要求。</w:t>
            </w:r>
          </w:p>
        </w:tc>
        <w:tc>
          <w:tcPr>
            <w:tcW w:w="6048"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已落实。</w:t>
            </w:r>
          </w:p>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选用低噪音设备，已合理布局，采用有效的减振、降噪、等措施，排放的噪声满足《工业企业厂界环境噪声排放标准》（GB12348- 2008）中2类区标准要求。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rFonts w:hAnsiTheme="minorEastAsia" w:eastAsiaTheme="minorEastAsia"/>
                <w:sz w:val="21"/>
                <w:szCs w:val="21"/>
              </w:rPr>
            </w:pPr>
            <w:r>
              <w:rPr>
                <w:rFonts w:hint="eastAsia" w:hAnsiTheme="minorEastAsia" w:eastAsiaTheme="minorEastAsia"/>
                <w:sz w:val="21"/>
                <w:szCs w:val="21"/>
              </w:rPr>
              <w:t>4</w:t>
            </w:r>
          </w:p>
        </w:tc>
        <w:tc>
          <w:tcPr>
            <w:tcW w:w="6237"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加强固体废物管理，将产生的除尘灰、石膏全部外卖利用，不得丢弃。</w:t>
            </w:r>
          </w:p>
        </w:tc>
        <w:tc>
          <w:tcPr>
            <w:tcW w:w="6048" w:type="dxa"/>
            <w:vAlign w:val="center"/>
          </w:tcPr>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已落实。</w:t>
            </w:r>
          </w:p>
          <w:p>
            <w:pPr>
              <w:adjustRightInd w:val="0"/>
              <w:snapToGrid w:val="0"/>
              <w:spacing w:beforeLines="0" w:afterLines="0" w:line="240" w:lineRule="auto"/>
              <w:ind w:firstLine="0" w:firstLineChars="0"/>
              <w:rPr>
                <w:rFonts w:hAnsiTheme="minorEastAsia" w:eastAsiaTheme="minorEastAsia"/>
                <w:sz w:val="21"/>
                <w:szCs w:val="21"/>
              </w:rPr>
            </w:pPr>
            <w:r>
              <w:rPr>
                <w:rFonts w:hint="eastAsia" w:hAnsiTheme="minorEastAsia" w:eastAsiaTheme="minorEastAsia"/>
                <w:sz w:val="21"/>
                <w:szCs w:val="21"/>
              </w:rPr>
              <w:t>本项目不产生石膏，炉渣用于矿区道路冬季防滑，剩余部分填埋至老尾矿库内并覆土绿化，除尘灰卖给砖厂制砖除尘灰暂存于煤渣场地，定期卖给砖厂制砖。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restart"/>
            <w:vAlign w:val="center"/>
          </w:tcPr>
          <w:p>
            <w:pPr>
              <w:adjustRightInd w:val="0"/>
              <w:snapToGrid w:val="0"/>
              <w:spacing w:beforeLines="0" w:afterLines="0" w:line="240" w:lineRule="auto"/>
              <w:ind w:firstLine="0" w:firstLineChars="0"/>
              <w:jc w:val="center"/>
              <w:rPr>
                <w:sz w:val="21"/>
                <w:szCs w:val="21"/>
              </w:rPr>
            </w:pPr>
            <w:r>
              <w:rPr>
                <w:rFonts w:hint="eastAsia" w:hAnsiTheme="minorEastAsia" w:eastAsiaTheme="minorEastAsia"/>
                <w:sz w:val="21"/>
                <w:szCs w:val="21"/>
              </w:rPr>
              <w:t>珲春紫金矿业有限公司危险废物贮存库建设项目</w:t>
            </w: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1</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sz w:val="21"/>
                <w:szCs w:val="21"/>
              </w:rPr>
              <w:t>存储库内的存储区要设置集气罩，采用活性炭对其库内产生的非甲烷总统进行处置，经处理后，通过15m高排气筒排放，使排放满足《大气污染物综合排放标准》（GB16297-1996）中无组织排放监控浓度限值。</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w:t>
            </w:r>
          </w:p>
          <w:p>
            <w:pPr>
              <w:adjustRightInd w:val="0"/>
              <w:snapToGrid w:val="0"/>
              <w:spacing w:beforeLines="0" w:afterLines="0" w:line="240" w:lineRule="auto"/>
              <w:ind w:firstLine="0" w:firstLineChars="0"/>
              <w:rPr>
                <w:sz w:val="21"/>
                <w:szCs w:val="21"/>
              </w:rPr>
            </w:pPr>
            <w:r>
              <w:rPr>
                <w:rFonts w:hint="eastAsia"/>
                <w:sz w:val="21"/>
                <w:szCs w:val="21"/>
              </w:rPr>
              <w:t>危</w:t>
            </w:r>
            <w:r>
              <w:rPr>
                <w:sz w:val="21"/>
                <w:szCs w:val="21"/>
              </w:rPr>
              <w:t>险废物贮存仓库在库内设置集气罩，收集后，经活性炭吸附后，通过</w:t>
            </w:r>
            <w:r>
              <w:rPr>
                <w:rFonts w:hint="eastAsia"/>
                <w:sz w:val="21"/>
                <w:szCs w:val="21"/>
              </w:rPr>
              <w:t>15m高排气筒排放</w:t>
            </w:r>
            <w:r>
              <w:rPr>
                <w:sz w:val="21"/>
                <w:szCs w:val="21"/>
              </w:rPr>
              <w:t>。</w:t>
            </w:r>
            <w:r>
              <w:rPr>
                <w:rFonts w:hint="eastAsia"/>
                <w:sz w:val="21"/>
                <w:szCs w:val="21"/>
              </w:rPr>
              <w:t>同时</w:t>
            </w:r>
            <w:r>
              <w:rPr>
                <w:sz w:val="21"/>
                <w:szCs w:val="21"/>
              </w:rPr>
              <w:t>为了减少和控制无组织排放量，专用收集容器设全天候呼吸阀，加强设备的密闭性，减少无组织排放。</w:t>
            </w:r>
            <w:r>
              <w:rPr>
                <w:rFonts w:hint="eastAsia"/>
                <w:sz w:val="21"/>
                <w:szCs w:val="21"/>
              </w:rPr>
              <w:t>根据项目验收监测结果，废气排放满足GB16297-1996《大气污染物综合排放标准》中的二级标准要求。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70" w:hRule="atLeast"/>
          <w:jc w:val="center"/>
        </w:trPr>
        <w:tc>
          <w:tcPr>
            <w:tcW w:w="1021" w:type="dxa"/>
            <w:vMerge w:val="continue"/>
            <w:vAlign w:val="center"/>
          </w:tcPr>
          <w:p>
            <w:pPr>
              <w:adjustRightInd w:val="0"/>
              <w:snapToGrid w:val="0"/>
              <w:spacing w:beforeLines="0" w:afterLines="0" w:line="240" w:lineRule="auto"/>
              <w:ind w:firstLine="0" w:firstLineChars="0"/>
              <w:rPr>
                <w:sz w:val="21"/>
                <w:szCs w:val="21"/>
              </w:rPr>
            </w:pPr>
          </w:p>
        </w:tc>
        <w:tc>
          <w:tcPr>
            <w:tcW w:w="708" w:type="dxa"/>
            <w:vAlign w:val="center"/>
          </w:tcPr>
          <w:p>
            <w:pPr>
              <w:adjustRightInd w:val="0"/>
              <w:snapToGrid w:val="0"/>
              <w:spacing w:beforeLines="0" w:afterLines="0" w:line="240" w:lineRule="auto"/>
              <w:ind w:firstLine="0" w:firstLineChars="0"/>
              <w:jc w:val="center"/>
              <w:rPr>
                <w:sz w:val="21"/>
                <w:szCs w:val="21"/>
              </w:rPr>
            </w:pPr>
            <w:r>
              <w:rPr>
                <w:rFonts w:hint="eastAsia"/>
                <w:sz w:val="21"/>
                <w:szCs w:val="21"/>
              </w:rPr>
              <w:t>2</w:t>
            </w:r>
          </w:p>
        </w:tc>
        <w:tc>
          <w:tcPr>
            <w:tcW w:w="6237" w:type="dxa"/>
            <w:vAlign w:val="center"/>
          </w:tcPr>
          <w:p>
            <w:pPr>
              <w:adjustRightInd w:val="0"/>
              <w:snapToGrid w:val="0"/>
              <w:spacing w:beforeLines="0" w:afterLines="0" w:line="240" w:lineRule="auto"/>
              <w:ind w:firstLine="0" w:firstLineChars="0"/>
              <w:rPr>
                <w:sz w:val="21"/>
                <w:szCs w:val="21"/>
              </w:rPr>
            </w:pPr>
            <w:r>
              <w:rPr>
                <w:rFonts w:hint="eastAsia" w:asciiTheme="minorEastAsia" w:hAnsiTheme="minorEastAsia" w:eastAsiaTheme="minorEastAsia"/>
                <w:sz w:val="21"/>
                <w:szCs w:val="21"/>
              </w:rPr>
              <w:t>建立完善的环境风险防范措施，设立危险警示标牌，油库做好防渗和监测工作，避免环境污染事故的发生。</w:t>
            </w:r>
          </w:p>
        </w:tc>
        <w:tc>
          <w:tcPr>
            <w:tcW w:w="6048" w:type="dxa"/>
            <w:vAlign w:val="center"/>
          </w:tcPr>
          <w:p>
            <w:pPr>
              <w:adjustRightInd w:val="0"/>
              <w:snapToGrid w:val="0"/>
              <w:spacing w:beforeLines="0" w:afterLines="0" w:line="240" w:lineRule="auto"/>
              <w:ind w:firstLine="0" w:firstLineChars="0"/>
              <w:rPr>
                <w:sz w:val="21"/>
                <w:szCs w:val="21"/>
              </w:rPr>
            </w:pPr>
            <w:r>
              <w:rPr>
                <w:rFonts w:hint="eastAsia"/>
                <w:sz w:val="21"/>
                <w:szCs w:val="21"/>
              </w:rPr>
              <w:t>已落实。项目根据实际情况落实了以下风险防范措施：</w:t>
            </w:r>
          </w:p>
          <w:p>
            <w:pPr>
              <w:adjustRightInd w:val="0"/>
              <w:snapToGrid w:val="0"/>
              <w:spacing w:beforeLines="0" w:afterLines="0" w:line="240" w:lineRule="auto"/>
              <w:ind w:firstLine="0" w:firstLineChars="0"/>
              <w:rPr>
                <w:sz w:val="21"/>
                <w:szCs w:val="21"/>
              </w:rPr>
            </w:pPr>
            <w:r>
              <w:rPr>
                <w:rFonts w:hint="eastAsia"/>
                <w:sz w:val="21"/>
                <w:szCs w:val="21"/>
              </w:rPr>
              <w:t>（1）两个贮存间均设置了断面尺寸为0.2*0.4m的收集沟，若有泄漏，流入2m</w:t>
            </w:r>
            <w:r>
              <w:rPr>
                <w:rFonts w:hint="eastAsia"/>
                <w:sz w:val="21"/>
                <w:szCs w:val="21"/>
                <w:vertAlign w:val="superscript"/>
              </w:rPr>
              <w:t>3</w:t>
            </w:r>
            <w:r>
              <w:rPr>
                <w:rFonts w:hint="eastAsia"/>
                <w:sz w:val="21"/>
                <w:szCs w:val="21"/>
              </w:rPr>
              <w:t>的收集池内；</w:t>
            </w:r>
          </w:p>
          <w:p>
            <w:pPr>
              <w:adjustRightInd w:val="0"/>
              <w:snapToGrid w:val="0"/>
              <w:spacing w:beforeLines="0" w:afterLines="0" w:line="240" w:lineRule="auto"/>
              <w:ind w:firstLine="0" w:firstLineChars="0"/>
              <w:rPr>
                <w:sz w:val="21"/>
                <w:szCs w:val="21"/>
              </w:rPr>
            </w:pPr>
            <w:r>
              <w:rPr>
                <w:rFonts w:hint="eastAsia"/>
                <w:sz w:val="21"/>
                <w:szCs w:val="21"/>
              </w:rPr>
              <w:t>（2）设置了容积为19m</w:t>
            </w:r>
            <w:r>
              <w:rPr>
                <w:rFonts w:hint="eastAsia"/>
                <w:sz w:val="21"/>
                <w:szCs w:val="21"/>
                <w:vertAlign w:val="superscript"/>
              </w:rPr>
              <w:t>3</w:t>
            </w:r>
            <w:r>
              <w:rPr>
                <w:rFonts w:hint="eastAsia"/>
                <w:sz w:val="21"/>
                <w:szCs w:val="21"/>
              </w:rPr>
              <w:t>的消防水收集池；</w:t>
            </w:r>
          </w:p>
          <w:p>
            <w:pPr>
              <w:adjustRightInd w:val="0"/>
              <w:snapToGrid w:val="0"/>
              <w:spacing w:beforeLines="0" w:afterLines="0" w:line="240" w:lineRule="auto"/>
              <w:ind w:firstLine="0" w:firstLineChars="0"/>
              <w:rPr>
                <w:sz w:val="21"/>
                <w:szCs w:val="21"/>
              </w:rPr>
            </w:pPr>
            <w:r>
              <w:rPr>
                <w:rFonts w:hint="eastAsia"/>
                <w:sz w:val="21"/>
                <w:szCs w:val="21"/>
              </w:rPr>
              <w:t>（3）贮存间地面进行了防渗处理，并设置了围堰；</w:t>
            </w:r>
          </w:p>
          <w:p>
            <w:pPr>
              <w:adjustRightInd w:val="0"/>
              <w:snapToGrid w:val="0"/>
              <w:spacing w:beforeLines="0" w:afterLines="0" w:line="240" w:lineRule="auto"/>
              <w:ind w:firstLine="0" w:firstLineChars="0"/>
              <w:rPr>
                <w:sz w:val="21"/>
                <w:szCs w:val="21"/>
              </w:rPr>
            </w:pPr>
            <w:r>
              <w:rPr>
                <w:rFonts w:hint="eastAsia"/>
                <w:sz w:val="21"/>
                <w:szCs w:val="21"/>
              </w:rPr>
              <w:t>（4）贮存区内有配备了消防器材；</w:t>
            </w:r>
          </w:p>
          <w:p>
            <w:pPr>
              <w:adjustRightInd w:val="0"/>
              <w:snapToGrid w:val="0"/>
              <w:spacing w:beforeLines="0" w:afterLines="0" w:line="240" w:lineRule="auto"/>
              <w:ind w:firstLine="0" w:firstLineChars="0"/>
              <w:rPr>
                <w:sz w:val="21"/>
                <w:szCs w:val="21"/>
              </w:rPr>
            </w:pPr>
            <w:r>
              <w:rPr>
                <w:rFonts w:hint="eastAsia"/>
                <w:sz w:val="21"/>
                <w:szCs w:val="21"/>
              </w:rPr>
              <w:t>（5）针对本项目对企业原有应急预案进行了修订，并在当地环保部门完成了备案工作。</w:t>
            </w:r>
          </w:p>
        </w:tc>
      </w:tr>
    </w:tbl>
    <w:p>
      <w:pPr>
        <w:pStyle w:val="18"/>
        <w:adjustRightInd w:val="0"/>
        <w:snapToGrid w:val="0"/>
        <w:spacing w:before="190" w:beforeLines="50" w:after="190" w:afterLines="50"/>
        <w:ind w:firstLine="482"/>
        <w:jc w:val="both"/>
        <w:rPr>
          <w:rFonts w:eastAsia="宋体"/>
          <w:b/>
          <w:sz w:val="24"/>
        </w:rPr>
        <w:sectPr>
          <w:pgSz w:w="16838" w:h="11906" w:orient="landscape"/>
          <w:pgMar w:top="1800" w:right="1440" w:bottom="1800" w:left="1440" w:header="851" w:footer="992" w:gutter="0"/>
          <w:cols w:space="720" w:num="1"/>
          <w:docGrid w:type="lines" w:linePitch="381" w:charSpace="0"/>
        </w:sectPr>
      </w:pPr>
    </w:p>
    <w:p>
      <w:pPr>
        <w:pStyle w:val="10"/>
        <w:spacing w:beforeLines="0" w:line="240" w:lineRule="auto"/>
      </w:pPr>
      <w:bookmarkStart w:id="39" w:name="_Toc409074565"/>
      <w:bookmarkStart w:id="40" w:name="_Toc380682327"/>
      <w:bookmarkStart w:id="41" w:name="_Toc435621456"/>
      <w:r>
        <w:t>表</w:t>
      </w:r>
      <w:r>
        <w:rPr>
          <w:rFonts w:hint="eastAsia"/>
        </w:rPr>
        <w:t xml:space="preserve">4-3  </w:t>
      </w:r>
      <w:r>
        <w:t>竣工环境保护验收意见</w:t>
      </w:r>
      <w:r>
        <w:rPr>
          <w:rFonts w:hint="eastAsia"/>
        </w:rPr>
        <w:t>的</w:t>
      </w:r>
      <w:r>
        <w:t>落实情况</w:t>
      </w:r>
    </w:p>
    <w:tbl>
      <w:tblPr>
        <w:tblStyle w:val="11"/>
        <w:tblW w:w="1473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20"/>
        <w:gridCol w:w="746"/>
        <w:gridCol w:w="6409"/>
        <w:gridCol w:w="6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blHeader/>
        </w:trPr>
        <w:tc>
          <w:tcPr>
            <w:tcW w:w="1520" w:type="dxa"/>
            <w:vAlign w:val="center"/>
          </w:tcPr>
          <w:p>
            <w:pPr>
              <w:pStyle w:val="16"/>
              <w:snapToGrid w:val="0"/>
              <w:spacing w:beforeLines="0" w:afterLines="0" w:line="240" w:lineRule="auto"/>
              <w:ind w:firstLine="0" w:firstLineChars="0"/>
              <w:rPr>
                <w:rFonts w:ascii="Times New Roman" w:hAnsi="Times New Roman"/>
                <w:b/>
                <w:sz w:val="21"/>
                <w:szCs w:val="21"/>
              </w:rPr>
            </w:pPr>
            <w:r>
              <w:rPr>
                <w:rFonts w:hint="eastAsia" w:ascii="Times New Roman" w:hAnsi="Times New Roman"/>
                <w:b/>
                <w:sz w:val="21"/>
                <w:szCs w:val="21"/>
              </w:rPr>
              <w:t>建设项目名称</w:t>
            </w:r>
          </w:p>
        </w:tc>
        <w:tc>
          <w:tcPr>
            <w:tcW w:w="746" w:type="dxa"/>
            <w:vAlign w:val="center"/>
          </w:tcPr>
          <w:p>
            <w:pPr>
              <w:pStyle w:val="16"/>
              <w:snapToGrid w:val="0"/>
              <w:spacing w:beforeLines="0" w:afterLines="0" w:line="240" w:lineRule="auto"/>
              <w:ind w:firstLine="0" w:firstLineChars="0"/>
              <w:rPr>
                <w:rFonts w:ascii="Times New Roman" w:hAnsi="Times New Roman"/>
                <w:b/>
                <w:sz w:val="21"/>
                <w:szCs w:val="21"/>
              </w:rPr>
            </w:pPr>
            <w:r>
              <w:rPr>
                <w:rFonts w:ascii="Times New Roman"/>
                <w:b/>
                <w:sz w:val="21"/>
                <w:szCs w:val="21"/>
              </w:rPr>
              <w:t>序号</w:t>
            </w:r>
          </w:p>
        </w:tc>
        <w:tc>
          <w:tcPr>
            <w:tcW w:w="6409" w:type="dxa"/>
            <w:vAlign w:val="center"/>
          </w:tcPr>
          <w:p>
            <w:pPr>
              <w:pStyle w:val="16"/>
              <w:snapToGrid w:val="0"/>
              <w:spacing w:beforeLines="0" w:afterLines="0" w:line="240" w:lineRule="auto"/>
              <w:ind w:firstLine="0" w:firstLineChars="0"/>
              <w:rPr>
                <w:rFonts w:ascii="Times New Roman" w:hAnsi="Times New Roman"/>
                <w:b/>
                <w:sz w:val="21"/>
                <w:szCs w:val="21"/>
              </w:rPr>
            </w:pPr>
            <w:r>
              <w:rPr>
                <w:rFonts w:ascii="Times New Roman"/>
                <w:b/>
                <w:sz w:val="21"/>
                <w:szCs w:val="21"/>
              </w:rPr>
              <w:t>竣工环境保护验收</w:t>
            </w:r>
          </w:p>
          <w:p>
            <w:pPr>
              <w:pStyle w:val="16"/>
              <w:snapToGrid w:val="0"/>
              <w:spacing w:beforeLines="0" w:afterLines="0" w:line="240" w:lineRule="auto"/>
              <w:ind w:firstLine="0" w:firstLineChars="0"/>
              <w:rPr>
                <w:rFonts w:ascii="Times New Roman" w:hAnsi="Times New Roman"/>
                <w:b/>
                <w:sz w:val="21"/>
                <w:szCs w:val="21"/>
              </w:rPr>
            </w:pPr>
            <w:r>
              <w:rPr>
                <w:rFonts w:ascii="Times New Roman"/>
                <w:b/>
                <w:sz w:val="21"/>
                <w:szCs w:val="21"/>
              </w:rPr>
              <w:t>意见提出的环保要求</w:t>
            </w:r>
          </w:p>
        </w:tc>
        <w:tc>
          <w:tcPr>
            <w:tcW w:w="6059" w:type="dxa"/>
            <w:vAlign w:val="center"/>
          </w:tcPr>
          <w:p>
            <w:pPr>
              <w:pStyle w:val="16"/>
              <w:snapToGrid w:val="0"/>
              <w:spacing w:beforeLines="0" w:afterLines="0" w:line="240" w:lineRule="auto"/>
              <w:ind w:firstLine="0" w:firstLineChars="0"/>
              <w:rPr>
                <w:rFonts w:ascii="Times New Roman" w:hAnsi="Times New Roman"/>
                <w:b/>
                <w:sz w:val="21"/>
                <w:szCs w:val="21"/>
              </w:rPr>
            </w:pPr>
            <w:r>
              <w:rPr>
                <w:rFonts w:ascii="Times New Roman"/>
                <w:b/>
                <w:sz w:val="21"/>
                <w:szCs w:val="21"/>
              </w:rPr>
              <w:t>实际落实情况</w:t>
            </w:r>
          </w:p>
          <w:p>
            <w:pPr>
              <w:pStyle w:val="16"/>
              <w:snapToGrid w:val="0"/>
              <w:spacing w:beforeLines="0" w:afterLines="0" w:line="240" w:lineRule="auto"/>
              <w:ind w:firstLine="0" w:firstLineChars="0"/>
              <w:rPr>
                <w:rFonts w:ascii="Times New Roman" w:hAnsi="Times New Roman"/>
                <w:b/>
                <w:sz w:val="21"/>
                <w:szCs w:val="21"/>
              </w:rPr>
            </w:pPr>
            <w:r>
              <w:rPr>
                <w:rFonts w:ascii="Times New Roman"/>
                <w:b/>
                <w:sz w:val="21"/>
                <w:szCs w:val="21"/>
              </w:rPr>
              <w:t>（未落实的说明原因）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restart"/>
            <w:vAlign w:val="center"/>
          </w:tcPr>
          <w:p>
            <w:pPr>
              <w:pStyle w:val="16"/>
              <w:snapToGrid w:val="0"/>
              <w:spacing w:beforeLines="0" w:afterLines="0" w:line="240" w:lineRule="auto"/>
              <w:ind w:firstLine="0" w:firstLineChars="0"/>
              <w:rPr>
                <w:rFonts w:ascii="Times New Roman" w:hAnsi="Times New Roman"/>
                <w:sz w:val="21"/>
                <w:szCs w:val="21"/>
              </w:rPr>
            </w:pPr>
            <w:r>
              <w:rPr>
                <w:rFonts w:ascii="Times New Roman" w:hAnsi="Times New Roman" w:eastAsiaTheme="minorEastAsia"/>
                <w:sz w:val="21"/>
                <w:szCs w:val="21"/>
              </w:rPr>
              <w:t>珲春紫金矿业有限公司4000吨/日金铜选冶改扩建项目（采选部分）</w:t>
            </w:r>
          </w:p>
        </w:tc>
        <w:tc>
          <w:tcPr>
            <w:tcW w:w="746" w:type="dxa"/>
            <w:vAlign w:val="center"/>
          </w:tcPr>
          <w:p>
            <w:pPr>
              <w:pStyle w:val="16"/>
              <w:snapToGrid w:val="0"/>
              <w:spacing w:beforeLines="0" w:afterLines="0" w:line="240" w:lineRule="auto"/>
              <w:ind w:firstLine="0" w:firstLineChars="0"/>
              <w:rPr>
                <w:rFonts w:ascii="Times New Roman" w:hAnsi="Times New Roman"/>
                <w:sz w:val="21"/>
                <w:szCs w:val="21"/>
              </w:rPr>
            </w:pPr>
            <w:r>
              <w:rPr>
                <w:rFonts w:ascii="Times New Roman" w:hAnsi="Times New Roman"/>
                <w:sz w:val="21"/>
                <w:szCs w:val="21"/>
              </w:rPr>
              <w:t>1</w:t>
            </w:r>
          </w:p>
        </w:tc>
        <w:tc>
          <w:tcPr>
            <w:tcW w:w="640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eastAsiaTheme="minorEastAsia"/>
                <w:sz w:val="21"/>
                <w:szCs w:val="21"/>
              </w:rPr>
              <w:t>2006年9月底前完成对现有锅炉房烟囱加高至40m；选矿厂破碎、筛分车间排气筒加高至15m。</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eastAsiaTheme="minorEastAsia"/>
                <w:sz w:val="21"/>
                <w:szCs w:val="21"/>
              </w:rPr>
              <w:t>锅炉房烟囱加高至45m；选矿厂破碎、筛分车间排气筒加高至15m。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sz w:val="21"/>
                <w:szCs w:val="21"/>
              </w:rPr>
            </w:pPr>
            <w:r>
              <w:rPr>
                <w:rFonts w:ascii="Times New Roman" w:hAnsi="Times New Roman"/>
                <w:sz w:val="21"/>
                <w:szCs w:val="21"/>
              </w:rPr>
              <w:t>2</w:t>
            </w:r>
          </w:p>
        </w:tc>
        <w:tc>
          <w:tcPr>
            <w:tcW w:w="640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eastAsiaTheme="minorEastAsia"/>
                <w:sz w:val="21"/>
                <w:szCs w:val="21"/>
              </w:rPr>
              <w:t>进一步做好尾矿库等环境风险防范工作，防止风险事故发生。</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sz w:val="21"/>
                <w:szCs w:val="21"/>
              </w:rPr>
              <w:t>曙光金铜矿尾矿库设有截洪沟、坝体位移监测、浸润线监测、地下水监测井等设施，并制订《突发环境污染事件应急预案》，每年组织进行突发环境事件应急演练。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及时做好南山坑口地表渣地、北山露天采矿场和废石堆放场、尾矿库生态恢复和治理工作。</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公司已制订矿山生态恢复和治理方案及工作计划。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restart"/>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ascii="Times New Roman" w:hAnsi="Times New Roman" w:eastAsiaTheme="minorEastAsia"/>
                <w:sz w:val="21"/>
                <w:szCs w:val="21"/>
              </w:rPr>
              <w:t>珲春紫金矿业有限公司曙光金铜矿9500t/d改扩建项目</w:t>
            </w: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加强环保设施的日常运行维护和管理，确保各项污染物长期稳定达标排放。</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未落实。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公司重视环保设施的日常运行维护和管理，但锅炉烟气烟尘存在个别时段超标现象，已对除尘设施加强维修和管理，确保达标排放。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按照水土保持方案，落实完善截洪沟、挡土墙等水土保持措施。</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尾矿库设有截洪沟、废石场设有挡土墙等保护措施。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按标准要求建设事故储池，并保持正常状态，采暖期前封闭煤、灰储场。</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尾矿库下游设有事故池，锅炉房设有封闭煤、灰储场。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4</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2009年年底前制定原有尾矿库的闭库方案，按方案进行落实。</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曙光金铜矿委托有关单位进行《老尾矿库尾矿坝加固设计》，并完成安全验收。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restart"/>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AnsiTheme="minorEastAsia" w:eastAsiaTheme="minorEastAsia"/>
                <w:sz w:val="21"/>
                <w:szCs w:val="21"/>
              </w:rPr>
              <w:t>珲春紫金矿业有限公司曙光金铜矿废石综合利用项目</w:t>
            </w: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进一步加强采矿场、排土场、运输道路等重点区域的生态保护措施。</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曙光金铜矿</w:t>
            </w:r>
            <w:r>
              <w:rPr>
                <w:rFonts w:ascii="Times New Roman" w:hAnsi="Times New Roman" w:eastAsiaTheme="minorEastAsia"/>
                <w:sz w:val="21"/>
                <w:szCs w:val="21"/>
              </w:rPr>
              <w:t>在工程建设过程中，坚持开发与生态保护并重的原则，采取了相应的生态恢复及管理措施，有效地防止了生态环境的破坏。</w:t>
            </w:r>
            <w:r>
              <w:rPr>
                <w:rFonts w:hint="eastAsia" w:ascii="Times New Roman" w:hAnsi="Times New Roman" w:eastAsiaTheme="minorEastAsia"/>
                <w:sz w:val="21"/>
                <w:szCs w:val="21"/>
              </w:rPr>
              <w:t>废石综合利用仙姑</w:t>
            </w:r>
            <w:r>
              <w:rPr>
                <w:rFonts w:ascii="Times New Roman" w:hAnsi="Times New Roman" w:eastAsiaTheme="minorEastAsia"/>
                <w:sz w:val="21"/>
                <w:szCs w:val="21"/>
              </w:rPr>
              <w:t>环评及环评批复提出的各项生态环保措施已落实，</w:t>
            </w:r>
            <w:r>
              <w:rPr>
                <w:rFonts w:hint="eastAsia" w:ascii="Times New Roman" w:hAnsi="Times New Roman" w:eastAsiaTheme="minorEastAsia"/>
                <w:sz w:val="21"/>
                <w:szCs w:val="21"/>
              </w:rPr>
              <w:t>本项目工程</w:t>
            </w:r>
            <w:r>
              <w:rPr>
                <w:rFonts w:ascii="Times New Roman" w:hAnsi="Times New Roman" w:eastAsiaTheme="minorEastAsia"/>
                <w:sz w:val="21"/>
                <w:szCs w:val="21"/>
              </w:rPr>
              <w:t>区域内土壤和植被已基本恢复</w:t>
            </w:r>
            <w:r>
              <w:rPr>
                <w:rFonts w:hint="eastAsia" w:ascii="Times New Roman" w:hAnsi="Times New Roman" w:eastAsiaTheme="minorEastAsia"/>
                <w:sz w:val="21"/>
                <w:szCs w:val="21"/>
              </w:rPr>
              <w:t>（尾矿库和选厂闭矿生态恢复除外）</w:t>
            </w:r>
            <w:r>
              <w:rPr>
                <w:rFonts w:ascii="Times New Roman" w:hAnsi="Times New Roman" w:eastAsiaTheme="minorEastAsia"/>
                <w:sz w:val="21"/>
                <w:szCs w:val="21"/>
              </w:rPr>
              <w:t>。</w:t>
            </w:r>
            <w:r>
              <w:rPr>
                <w:rFonts w:hint="eastAsia" w:ascii="Times New Roman" w:hAnsi="Times New Roman" w:eastAsiaTheme="minorEastAsia"/>
                <w:sz w:val="21"/>
                <w:szCs w:val="21"/>
              </w:rPr>
              <w:t>企业后续将</w:t>
            </w:r>
            <w:r>
              <w:rPr>
                <w:rFonts w:ascii="Times New Roman" w:hAnsi="Times New Roman" w:eastAsiaTheme="minorEastAsia"/>
                <w:sz w:val="21"/>
                <w:szCs w:val="21"/>
              </w:rPr>
              <w:t>加强对员工进行定期培训，</w:t>
            </w:r>
            <w:r>
              <w:rPr>
                <w:rFonts w:hint="eastAsia" w:ascii="Times New Roman" w:hAnsi="Times New Roman" w:eastAsiaTheme="minorEastAsia"/>
                <w:sz w:val="21"/>
                <w:szCs w:val="21"/>
              </w:rPr>
              <w:t>不断</w:t>
            </w:r>
            <w:r>
              <w:rPr>
                <w:rFonts w:ascii="Times New Roman" w:hAnsi="Times New Roman" w:eastAsiaTheme="minorEastAsia"/>
                <w:sz w:val="21"/>
                <w:szCs w:val="21"/>
              </w:rPr>
              <w:t>提高员工环保意识和生态保护的基本知识，减少生产活动对</w:t>
            </w:r>
            <w:r>
              <w:rPr>
                <w:rFonts w:hint="eastAsia" w:ascii="Times New Roman" w:hAnsi="Times New Roman" w:eastAsiaTheme="minorEastAsia"/>
                <w:sz w:val="21"/>
                <w:szCs w:val="21"/>
              </w:rPr>
              <w:t>区域生态环境的不利</w:t>
            </w:r>
            <w:r>
              <w:rPr>
                <w:rFonts w:ascii="Times New Roman" w:hAnsi="Times New Roman" w:eastAsiaTheme="minorEastAsia"/>
                <w:sz w:val="21"/>
                <w:szCs w:val="21"/>
              </w:rPr>
              <w:t>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完善排土场挡土墙建设，控制水土流失。完善排土场、尾矿库等重点区域的防渗、集排水措施和安全防范措施，防止二次污染。</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本工程</w:t>
            </w:r>
            <w:r>
              <w:rPr>
                <w:rFonts w:ascii="Times New Roman" w:hAnsi="Times New Roman" w:eastAsiaTheme="minorEastAsia"/>
                <w:sz w:val="21"/>
                <w:szCs w:val="21"/>
              </w:rPr>
              <w:t>在基建期工业场地、道路均进行了混凝土硬化处理，</w:t>
            </w:r>
            <w:r>
              <w:rPr>
                <w:rFonts w:hint="eastAsia" w:ascii="Times New Roman" w:hAnsi="Times New Roman" w:eastAsiaTheme="minorEastAsia"/>
                <w:sz w:val="21"/>
                <w:szCs w:val="21"/>
              </w:rPr>
              <w:t>在排土场周围，修筑可靠的截洪沟和排水沟拦截山坡汇水；在排土场靠山坡地段和安全平台上设排水沟和截水沟。尾矿库为Ⅰ类库，不必做防渗处理。集水沟、集液池、选矿车间和库房均进行了防渗处理。能有效防止二次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确保工艺废水经处理后全部回用，不得外排。</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本工程所有产生的废水均厂内回用，不外排。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4</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加强污染物防治设施运行管理，确保长期稳定运行，污染物达标排放，强化对运输道路、排土场等易产尘区域的洒水降尘，避免扬尘对周围环境产生影响。</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企业配有专用洒水车，在有风或干燥天气，定期对路面、选场、排土场、尾矿库进行了洒水作业，有效的减少了粉尘污染</w:t>
            </w:r>
            <w:r>
              <w:rPr>
                <w:rFonts w:ascii="Times New Roman" w:hAnsi="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5</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选矿车间应尽量封闭生产，合理安排矿石、渣土运输时间，最大程度降低噪声对家属区产生的影响。</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矿区家属楼和办公楼</w:t>
            </w:r>
            <w:r>
              <w:rPr>
                <w:rFonts w:ascii="Times New Roman" w:hAnsi="Times New Roman" w:eastAsiaTheme="minorEastAsia"/>
                <w:sz w:val="21"/>
                <w:szCs w:val="21"/>
              </w:rPr>
              <w:t>的昼间和夜间等效连续A声级，均满足验收标准《声环境质量标准》（GB3096-2008）</w:t>
            </w:r>
            <w:r>
              <w:rPr>
                <w:rFonts w:hint="eastAsia" w:ascii="Times New Roman" w:hAnsi="Times New Roman" w:eastAsiaTheme="minorEastAsia"/>
                <w:sz w:val="21"/>
                <w:szCs w:val="21"/>
              </w:rPr>
              <w:t>3</w:t>
            </w:r>
            <w:r>
              <w:rPr>
                <w:rFonts w:ascii="Times New Roman" w:hAnsi="Times New Roman" w:eastAsiaTheme="minorEastAsia"/>
                <w:sz w:val="21"/>
                <w:szCs w:val="21"/>
              </w:rPr>
              <w:t>类标准（昼间≤60 dB(A)，夜间≤50dB(A)），表明</w:t>
            </w:r>
            <w:r>
              <w:rPr>
                <w:rFonts w:hint="eastAsia" w:ascii="Times New Roman" w:hAnsi="Times New Roman" w:eastAsiaTheme="minorEastAsia"/>
                <w:sz w:val="21"/>
                <w:szCs w:val="21"/>
              </w:rPr>
              <w:t>本项目的生产和</w:t>
            </w:r>
            <w:r>
              <w:rPr>
                <w:rFonts w:ascii="Times New Roman" w:hAnsi="Times New Roman" w:eastAsiaTheme="minorEastAsia"/>
                <w:sz w:val="21"/>
                <w:szCs w:val="21"/>
              </w:rPr>
              <w:t>外运道路交通噪声对声环境敏感目标影响轻微，不会发生噪声扰民现象。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6</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严格按照监测计划，委托有资质监测单位定期开展地下水、地表水和环境空气例行监测。</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基本落实。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企业在新建尾矿库上游及下游共设置3个监测井，分别为对照、监测、扩散井，一年丰平枯监测三次。均委托珲春市环境监测站对本项目地下水进行一次常规监测，落实了环评中对尾矿库所在区域地下水的环境监测计划。201</w:t>
            </w:r>
            <w:r>
              <w:rPr>
                <w:rFonts w:ascii="Times New Roman" w:hAnsi="Times New Roman" w:eastAsiaTheme="minorEastAsia"/>
                <w:sz w:val="21"/>
                <w:szCs w:val="21"/>
              </w:rPr>
              <w:t>9</w:t>
            </w:r>
            <w:r>
              <w:rPr>
                <w:rFonts w:hint="eastAsia" w:ascii="Times New Roman" w:hAnsi="Times New Roman" w:eastAsiaTheme="minorEastAsia"/>
                <w:sz w:val="21"/>
                <w:szCs w:val="21"/>
              </w:rPr>
              <w:t>年委托第三方监测单位对选矿废水、尾矿库地下水、香房河地表水、矿区环境空气及其矿区周边土壤重金属污染物开展了环境监测工作。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7</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完善应急预案的针对性和可操作性，定期组织应急演练。</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珲春紫金矿业有限公司于2016年3月自行编制了《珲春紫金矿业有限公司曙光金铜矿突发环境事件应急预案》，并取得了珲春市环境保护局《珲春紫金矿业有限公司曙光金铜矿突发环境事件应急预案备案登记表》（备案编号222404-2016-001-L）（2016年4月11日）。同时，曙光金铜矿于2019年对该突发环境事件应急预案进行修订，并在珲春市环境保护局进行了备案（备案编号：222404-2019-011-</w:t>
            </w:r>
            <w:r>
              <w:rPr>
                <w:rFonts w:ascii="Times New Roman" w:hAnsi="Times New Roman" w:eastAsiaTheme="minorEastAsia"/>
                <w:sz w:val="21"/>
                <w:szCs w:val="21"/>
              </w:rPr>
              <w:t>L</w:t>
            </w:r>
            <w:r>
              <w:rPr>
                <w:rFonts w:hint="eastAsia" w:ascii="Times New Roman" w:hAnsi="Times New Roman"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8</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加强全员环境保护宣传教育，定期开展清洁生产审核，适时开展环境影响后评价。</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2015年10月，曙光金铜矿向吉林省环保厅提交了第四轮清洁生产审核方案，此轮提交的清洁生产审核方案均为已建成项目，直接通过吉林省环保厅的清洁生产验收（吉环科字[2015]25号）。2</w:t>
            </w:r>
            <w:r>
              <w:rPr>
                <w:rFonts w:ascii="Times New Roman" w:hAnsi="Times New Roman" w:eastAsiaTheme="minorEastAsia"/>
                <w:sz w:val="21"/>
                <w:szCs w:val="21"/>
              </w:rPr>
              <w:t>019</w:t>
            </w:r>
            <w:r>
              <w:rPr>
                <w:rFonts w:hint="eastAsia" w:ascii="Times New Roman" w:hAnsi="Times New Roman" w:eastAsiaTheme="minorEastAsia"/>
                <w:sz w:val="21"/>
                <w:szCs w:val="21"/>
              </w:rPr>
              <w:t>年，珲春紫金开展了第五轮清洁生产，并已通过吉林省环科院专家组的技术评估（吉环院清[</w:t>
            </w:r>
            <w:r>
              <w:rPr>
                <w:rFonts w:ascii="Times New Roman" w:hAnsi="Times New Roman" w:eastAsiaTheme="minorEastAsia"/>
                <w:sz w:val="21"/>
                <w:szCs w:val="21"/>
              </w:rPr>
              <w:t>2019]61</w:t>
            </w:r>
            <w:r>
              <w:rPr>
                <w:rFonts w:hint="eastAsia" w:ascii="Times New Roman" w:hAnsi="Times New Roman" w:eastAsiaTheme="minorEastAsia"/>
                <w:sz w:val="21"/>
                <w:szCs w:val="21"/>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9</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严格按照有关规定落实尾矿库和排土场服务期满后的生态恢复和补偿方案，及时封场和复垦。</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曙光金铜矿在尾矿库和排土场服务期满后，将及时对其进行生态恢复，制定合理的补偿方案，及时封场并进行土地复垦。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restart"/>
            <w:vAlign w:val="center"/>
          </w:tcPr>
          <w:p>
            <w:pPr>
              <w:pStyle w:val="16"/>
              <w:snapToGrid w:val="0"/>
              <w:spacing w:beforeLines="0" w:afterLines="0" w:line="240" w:lineRule="auto"/>
              <w:ind w:firstLine="0" w:firstLineChars="0"/>
              <w:rPr>
                <w:rFonts w:ascii="Times New Roman" w:hAnsi="Times New Roman"/>
                <w:sz w:val="21"/>
                <w:szCs w:val="21"/>
              </w:rPr>
            </w:pPr>
            <w:r>
              <w:rPr>
                <w:rFonts w:ascii="Times New Roman" w:hAnsi="Times New Roman"/>
                <w:sz w:val="21"/>
                <w:szCs w:val="21"/>
              </w:rPr>
              <w:t>珲春紫金矿业有限公司200m</w:t>
            </w:r>
            <w:r>
              <w:rPr>
                <w:rFonts w:ascii="Times New Roman" w:hAnsi="Times New Roman"/>
                <w:sz w:val="21"/>
                <w:szCs w:val="21"/>
                <w:vertAlign w:val="superscript"/>
              </w:rPr>
              <w:t>3</w:t>
            </w:r>
            <w:r>
              <w:rPr>
                <w:rFonts w:ascii="Times New Roman" w:hAnsi="Times New Roman"/>
                <w:sz w:val="21"/>
                <w:szCs w:val="21"/>
              </w:rPr>
              <w:t>/d生活污水生态处理工程</w:t>
            </w:r>
          </w:p>
        </w:tc>
        <w:tc>
          <w:tcPr>
            <w:tcW w:w="746" w:type="dxa"/>
            <w:vAlign w:val="center"/>
          </w:tcPr>
          <w:p>
            <w:pPr>
              <w:pStyle w:val="16"/>
              <w:snapToGrid w:val="0"/>
              <w:spacing w:beforeLines="0" w:afterLines="0" w:line="240" w:lineRule="auto"/>
              <w:ind w:firstLine="0" w:firstLineChars="0"/>
              <w:rPr>
                <w:rFonts w:ascii="Times New Roman" w:hAnsi="Times New Roman"/>
                <w:sz w:val="21"/>
                <w:szCs w:val="21"/>
              </w:rPr>
            </w:pPr>
            <w:r>
              <w:rPr>
                <w:rFonts w:ascii="Times New Roman" w:hAnsi="Times New Roman"/>
                <w:sz w:val="21"/>
                <w:szCs w:val="21"/>
              </w:rPr>
              <w:t>1</w:t>
            </w:r>
          </w:p>
        </w:tc>
        <w:tc>
          <w:tcPr>
            <w:tcW w:w="640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进一步加强对污水处理厂的运行管理，提高处理效率。</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hint="eastAsia" w:ascii="Times New Roman" w:hAnsi="Times New Roman"/>
                <w:sz w:val="21"/>
                <w:szCs w:val="21"/>
              </w:rPr>
              <w:t>进一步</w:t>
            </w:r>
            <w:r>
              <w:rPr>
                <w:rFonts w:ascii="Times New Roman" w:hAnsi="Times New Roman"/>
                <w:sz w:val="21"/>
                <w:szCs w:val="21"/>
              </w:rPr>
              <w:t>加大对</w:t>
            </w:r>
            <w:r>
              <w:rPr>
                <w:rFonts w:hint="eastAsia" w:ascii="Times New Roman" w:hAnsi="Times New Roman"/>
                <w:sz w:val="21"/>
                <w:szCs w:val="21"/>
              </w:rPr>
              <w:t>污水处理厂设备的</w:t>
            </w:r>
            <w:r>
              <w:rPr>
                <w:rFonts w:ascii="Times New Roman" w:hAnsi="Times New Roman"/>
                <w:sz w:val="21"/>
                <w:szCs w:val="21"/>
              </w:rPr>
              <w:t>维修维护管理，确保环保设施同步运转率达到100%</w:t>
            </w:r>
            <w:r>
              <w:rPr>
                <w:rFonts w:hint="eastAsia" w:ascii="Times New Roman" w:hAnsi="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hAnsi="Calibri" w:cs="宋体"/>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确保厂界达到《工业企业厂界环境噪声排放标准》（GB12348-2008）中2类标准要求。</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根据2020年自行监测结果，厂界达到《工业企业厂界环境噪声排放标准》（GB12348-2008）中2类标准要求。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hAnsi="Calibri" w:cs="宋体"/>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确保所排放废水达到《城镇污水处理厂排放标准》（GB18918-2002）中一级A标准。</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基本落实。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生活污水处理后全部回用，未开展监测。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Merge w:val="continue"/>
            <w:vAlign w:val="center"/>
          </w:tcPr>
          <w:p>
            <w:pPr>
              <w:pStyle w:val="16"/>
              <w:snapToGrid w:val="0"/>
              <w:spacing w:beforeLines="0" w:afterLines="0" w:line="240" w:lineRule="auto"/>
              <w:ind w:firstLine="0" w:firstLineChars="0"/>
              <w:rPr>
                <w:rFonts w:hAnsi="Calibri" w:cs="宋体"/>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4</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企业应合理安排利用本项目处理后产生的废水。</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生活污水处理后全部回用，不外排。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3" w:hRule="atLeast"/>
        </w:trPr>
        <w:tc>
          <w:tcPr>
            <w:tcW w:w="1520"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hAnsiTheme="minorEastAsia" w:eastAsiaTheme="minorEastAsia"/>
                <w:sz w:val="21"/>
                <w:szCs w:val="21"/>
              </w:rPr>
              <w:t>珲春紫金矿业有限公司锅炉改造项目</w:t>
            </w: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w:t>
            </w:r>
          </w:p>
        </w:tc>
        <w:tc>
          <w:tcPr>
            <w:tcW w:w="640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加强炉渣等固废的管理</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炉渣用于矿区道路冬季防滑，剩余部分填埋至老尾矿库内并覆土绿化，除尘灰卖给砖厂制砖除尘灰暂存于煤渣场地，定期卖给砖厂制砖。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6" w:hRule="atLeast"/>
        </w:trPr>
        <w:tc>
          <w:tcPr>
            <w:tcW w:w="1520" w:type="dxa"/>
            <w:vMerge w:val="restart"/>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hAnsiTheme="minorEastAsia" w:eastAsiaTheme="minorEastAsia"/>
                <w:sz w:val="21"/>
                <w:szCs w:val="21"/>
              </w:rPr>
              <w:t>珲春紫金矿业有限公司危险废物贮存库建设项目</w:t>
            </w: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1</w:t>
            </w:r>
          </w:p>
        </w:tc>
        <w:tc>
          <w:tcPr>
            <w:tcW w:w="6409" w:type="dxa"/>
            <w:vAlign w:val="center"/>
          </w:tcPr>
          <w:p>
            <w:pPr>
              <w:spacing w:beforeLines="0" w:afterLines="0" w:line="240" w:lineRule="auto"/>
              <w:ind w:firstLine="0" w:firstLineChars="0"/>
              <w:jc w:val="left"/>
              <w:rPr>
                <w:rFonts w:eastAsiaTheme="minorEastAsia"/>
                <w:sz w:val="21"/>
                <w:szCs w:val="21"/>
              </w:rPr>
            </w:pPr>
            <w:r>
              <w:rPr>
                <w:rFonts w:hint="eastAsia" w:eastAsiaTheme="minorEastAsia"/>
                <w:kern w:val="0"/>
                <w:sz w:val="21"/>
                <w:szCs w:val="21"/>
              </w:rPr>
              <w:t>加强废机油等危险废物的管理</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曙光金铜矿持续规范固体废物和危险废物的管理，尾矿和废石全部贮存在标准场所内，危险废物全部委托转移处置。进一步规范各生产单位废机油、废油桶等的临时收集点，统一制作接油盘，设置危废标识，明确相关责任人及应急处置措施等。同时按照吉林省、州市生态环境部门危废管理要求，充分利用网上信息管理平台做好危废转移联单审批及处置工作，健全完善相关台账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6" w:hRule="atLeast"/>
        </w:trPr>
        <w:tc>
          <w:tcPr>
            <w:tcW w:w="1520" w:type="dxa"/>
            <w:vMerge w:val="continue"/>
            <w:vAlign w:val="center"/>
          </w:tcPr>
          <w:p>
            <w:pPr>
              <w:pStyle w:val="16"/>
              <w:snapToGrid w:val="0"/>
              <w:spacing w:beforeLines="0" w:afterLines="0" w:line="240" w:lineRule="auto"/>
              <w:ind w:firstLine="0" w:firstLineChars="0"/>
              <w:rPr>
                <w:rFonts w:hAnsiTheme="minorEastAsia"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2</w:t>
            </w:r>
          </w:p>
        </w:tc>
        <w:tc>
          <w:tcPr>
            <w:tcW w:w="6409" w:type="dxa"/>
            <w:vAlign w:val="center"/>
          </w:tcPr>
          <w:p>
            <w:pPr>
              <w:spacing w:beforeLines="0" w:afterLines="0" w:line="240" w:lineRule="auto"/>
              <w:ind w:firstLine="0" w:firstLineChars="0"/>
              <w:jc w:val="left"/>
              <w:rPr>
                <w:rFonts w:eastAsiaTheme="minorEastAsia"/>
                <w:kern w:val="0"/>
                <w:sz w:val="21"/>
                <w:szCs w:val="21"/>
              </w:rPr>
            </w:pPr>
            <w:r>
              <w:rPr>
                <w:rFonts w:hint="eastAsia" w:ascii="宋体" w:hAnsi="宋体" w:cs="宋体"/>
                <w:sz w:val="21"/>
                <w:szCs w:val="21"/>
              </w:rPr>
              <w:t>加强对污染处理设施的维护和管理，确保稳定运行、达标排放。</w:t>
            </w:r>
          </w:p>
        </w:tc>
        <w:tc>
          <w:tcPr>
            <w:tcW w:w="6059" w:type="dxa"/>
            <w:vAlign w:val="center"/>
          </w:tcPr>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已落实。</w:t>
            </w:r>
          </w:p>
          <w:p>
            <w:pPr>
              <w:pStyle w:val="16"/>
              <w:snapToGrid w:val="0"/>
              <w:spacing w:beforeLines="0" w:afterLines="0" w:line="240" w:lineRule="auto"/>
              <w:ind w:firstLine="0" w:firstLineChars="0"/>
              <w:jc w:val="left"/>
              <w:rPr>
                <w:rFonts w:ascii="Times New Roman" w:hAnsi="Times New Roman"/>
                <w:sz w:val="21"/>
                <w:szCs w:val="21"/>
              </w:rPr>
            </w:pPr>
            <w:r>
              <w:rPr>
                <w:rFonts w:ascii="Times New Roman" w:hAnsi="Times New Roman"/>
                <w:sz w:val="21"/>
                <w:szCs w:val="21"/>
              </w:rPr>
              <w:t>曙光金铜矿加大对选矿厂除尘器、锅炉房除尘及脱硫环保设施的维修维护管理，确保环保设施同步运转率达到100%，保证各类废气污染物达标排放；并按照排污许可管理规范有关要求，逐步建立采矿、选矿、尾矿库、采暖锅炉、生活污水等环保设施运行台账，按要求在系统中填报相关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6" w:hRule="atLeast"/>
        </w:trPr>
        <w:tc>
          <w:tcPr>
            <w:tcW w:w="1520" w:type="dxa"/>
            <w:vMerge w:val="continue"/>
            <w:vAlign w:val="center"/>
          </w:tcPr>
          <w:p>
            <w:pPr>
              <w:pStyle w:val="16"/>
              <w:snapToGrid w:val="0"/>
              <w:spacing w:beforeLines="0" w:afterLines="0" w:line="240" w:lineRule="auto"/>
              <w:ind w:firstLine="0" w:firstLineChars="0"/>
              <w:rPr>
                <w:rFonts w:hAnsiTheme="minorEastAsia" w:eastAsiaTheme="minorEastAsia"/>
                <w:sz w:val="21"/>
                <w:szCs w:val="21"/>
              </w:rPr>
            </w:pPr>
          </w:p>
        </w:tc>
        <w:tc>
          <w:tcPr>
            <w:tcW w:w="746" w:type="dxa"/>
            <w:vAlign w:val="center"/>
          </w:tcPr>
          <w:p>
            <w:pPr>
              <w:pStyle w:val="16"/>
              <w:snapToGrid w:val="0"/>
              <w:spacing w:beforeLines="0" w:afterLines="0" w:line="240" w:lineRule="auto"/>
              <w:ind w:firstLine="0" w:firstLineChars="0"/>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6409" w:type="dxa"/>
            <w:vAlign w:val="center"/>
          </w:tcPr>
          <w:p>
            <w:pPr>
              <w:spacing w:beforeLines="0" w:afterLines="0" w:line="240" w:lineRule="auto"/>
              <w:ind w:firstLine="0" w:firstLineChars="0"/>
              <w:jc w:val="left"/>
              <w:rPr>
                <w:rFonts w:eastAsiaTheme="minorEastAsia"/>
                <w:kern w:val="0"/>
                <w:sz w:val="21"/>
                <w:szCs w:val="21"/>
              </w:rPr>
            </w:pPr>
            <w:r>
              <w:rPr>
                <w:rFonts w:hint="eastAsia"/>
                <w:sz w:val="21"/>
                <w:szCs w:val="21"/>
              </w:rPr>
              <w:t>进一步完善环境保护管理制度。</w:t>
            </w:r>
          </w:p>
        </w:tc>
        <w:tc>
          <w:tcPr>
            <w:tcW w:w="6059" w:type="dxa"/>
            <w:vAlign w:val="center"/>
          </w:tcPr>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eastAsiaTheme="minorEastAsia"/>
                <w:sz w:val="21"/>
                <w:szCs w:val="21"/>
              </w:rPr>
              <w:t>已落实。</w:t>
            </w:r>
          </w:p>
          <w:p>
            <w:pPr>
              <w:pStyle w:val="16"/>
              <w:snapToGrid w:val="0"/>
              <w:spacing w:beforeLines="0" w:afterLines="0" w:line="240" w:lineRule="auto"/>
              <w:ind w:firstLine="0" w:firstLineChars="0"/>
              <w:jc w:val="left"/>
              <w:rPr>
                <w:rFonts w:ascii="Times New Roman" w:hAnsi="Times New Roman" w:eastAsiaTheme="minorEastAsia"/>
                <w:sz w:val="21"/>
                <w:szCs w:val="21"/>
              </w:rPr>
            </w:pPr>
            <w:r>
              <w:rPr>
                <w:rFonts w:hint="eastAsia" w:ascii="Times New Roman" w:hAnsi="Times New Roman"/>
                <w:sz w:val="21"/>
                <w:szCs w:val="21"/>
              </w:rPr>
              <w:t>编制完成《珲春紫金矿业有限公司2021-2023年生态环保专项规划》及《年度生态环保，绿色矿山建设具体工作计划》，于2020年11月30日通过了环境管理体系认证（证书编号00220E33873R0M）。</w:t>
            </w:r>
            <w:r>
              <w:rPr>
                <w:rFonts w:hint="eastAsia" w:ascii="Times New Roman" w:hAnsi="Times New Roman" w:eastAsiaTheme="minorEastAsia"/>
                <w:sz w:val="21"/>
                <w:szCs w:val="21"/>
              </w:rPr>
              <w:t xml:space="preserve"> </w:t>
            </w:r>
          </w:p>
        </w:tc>
      </w:tr>
    </w:tbl>
    <w:p>
      <w:pPr>
        <w:spacing w:before="152" w:after="152"/>
        <w:ind w:firstLine="0" w:firstLineChars="0"/>
        <w:rPr>
          <w:sz w:val="24"/>
          <w:szCs w:val="24"/>
        </w:rPr>
      </w:pPr>
    </w:p>
    <w:p>
      <w:pPr>
        <w:spacing w:before="152" w:after="152"/>
        <w:ind w:firstLine="0" w:firstLineChars="0"/>
        <w:rPr>
          <w:sz w:val="24"/>
          <w:szCs w:val="24"/>
        </w:rPr>
        <w:sectPr>
          <w:pgSz w:w="16838" w:h="11906" w:orient="landscape"/>
          <w:pgMar w:top="1440" w:right="1080" w:bottom="1440" w:left="1080" w:header="851" w:footer="992" w:gutter="0"/>
          <w:cols w:space="720" w:num="1"/>
          <w:docGrid w:type="lines" w:linePitch="381" w:charSpace="0"/>
        </w:sectPr>
      </w:pPr>
    </w:p>
    <w:p>
      <w:pPr>
        <w:pStyle w:val="3"/>
        <w:rPr>
          <w:color w:val="auto"/>
        </w:rPr>
      </w:pPr>
      <w:bookmarkStart w:id="42" w:name="_Toc66281444"/>
      <w:bookmarkStart w:id="43" w:name="_Toc440871967"/>
      <w:bookmarkStart w:id="44" w:name="_Toc435621454"/>
      <w:bookmarkStart w:id="45" w:name="_Toc441676836"/>
      <w:r>
        <w:rPr>
          <w:color w:val="auto"/>
        </w:rPr>
        <w:t>4.2</w:t>
      </w:r>
      <w:r>
        <w:rPr>
          <w:rFonts w:hint="eastAsia"/>
          <w:color w:val="auto"/>
        </w:rPr>
        <w:t xml:space="preserve"> </w:t>
      </w:r>
      <w:r>
        <w:rPr>
          <w:color w:val="auto"/>
        </w:rPr>
        <w:t>技改及落后产能淘汰情况</w:t>
      </w:r>
      <w:bookmarkEnd w:id="42"/>
    </w:p>
    <w:p>
      <w:pPr>
        <w:spacing w:before="114" w:beforeLines="30" w:after="114" w:afterLines="30"/>
        <w:ind w:firstLine="480"/>
        <w:rPr>
          <w:rFonts w:eastAsia="仿宋_GB2312"/>
          <w:sz w:val="24"/>
        </w:rPr>
      </w:pPr>
      <w:r>
        <w:rPr>
          <w:rFonts w:eastAsia="仿宋_GB2312"/>
          <w:sz w:val="24"/>
        </w:rPr>
        <w:t>20</w:t>
      </w:r>
      <w:r>
        <w:rPr>
          <w:rFonts w:hint="eastAsia" w:eastAsia="仿宋_GB2312"/>
          <w:sz w:val="24"/>
        </w:rPr>
        <w:t>20</w:t>
      </w:r>
      <w:r>
        <w:rPr>
          <w:rFonts w:eastAsia="仿宋_GB2312"/>
          <w:sz w:val="24"/>
        </w:rPr>
        <w:t>年</w:t>
      </w:r>
      <w:r>
        <w:rPr>
          <w:rFonts w:hint="eastAsia" w:eastAsia="仿宋_GB2312"/>
          <w:sz w:val="24"/>
        </w:rPr>
        <w:t>，曙光金铜矿无技改和落后产能淘汰情况</w:t>
      </w:r>
      <w:r>
        <w:rPr>
          <w:rFonts w:eastAsia="仿宋_GB2312"/>
          <w:sz w:val="24"/>
        </w:rPr>
        <w:t>。</w:t>
      </w:r>
    </w:p>
    <w:p>
      <w:pPr>
        <w:pStyle w:val="3"/>
        <w:rPr>
          <w:color w:val="auto"/>
        </w:rPr>
      </w:pPr>
      <w:bookmarkStart w:id="46" w:name="_Toc66281445"/>
      <w:r>
        <w:rPr>
          <w:rFonts w:hint="eastAsia"/>
          <w:color w:val="auto"/>
        </w:rPr>
        <w:t>4.3 环保行政许可情况</w:t>
      </w:r>
      <w:bookmarkEnd w:id="43"/>
      <w:bookmarkEnd w:id="44"/>
      <w:bookmarkEnd w:id="45"/>
      <w:bookmarkEnd w:id="46"/>
    </w:p>
    <w:p>
      <w:pPr>
        <w:spacing w:before="114" w:beforeLines="30" w:after="114" w:afterLines="30"/>
        <w:ind w:firstLine="480"/>
        <w:rPr>
          <w:rFonts w:eastAsia="仿宋_GB2312"/>
          <w:sz w:val="24"/>
        </w:rPr>
      </w:pPr>
      <w:r>
        <w:rPr>
          <w:rFonts w:hint="eastAsia" w:eastAsia="仿宋_GB2312"/>
          <w:sz w:val="24"/>
        </w:rPr>
        <w:t>曙光金铜矿根据《排污许可管理办法（试行）》、《排污许可证申请与核发技术规范-锅炉》及《固定污染源排污许可分类管理名录（2019年版）》有关要求，于2020年7月5日完成了《排污许可证》申领，许可证编号为91222404753606947L001W，由延边朝鲜族自治州生态环境局发证。</w:t>
      </w:r>
    </w:p>
    <w:p>
      <w:pPr>
        <w:pStyle w:val="3"/>
        <w:rPr>
          <w:color w:val="auto"/>
        </w:rPr>
      </w:pPr>
      <w:bookmarkStart w:id="47" w:name="_Toc440871968"/>
      <w:bookmarkStart w:id="48" w:name="_Toc435621455"/>
      <w:bookmarkStart w:id="49" w:name="_Toc441676837"/>
      <w:bookmarkStart w:id="50" w:name="_Toc66281446"/>
      <w:r>
        <w:rPr>
          <w:rFonts w:hint="eastAsia"/>
          <w:color w:val="auto"/>
        </w:rPr>
        <w:t>4.4 环保税缴纳情况</w:t>
      </w:r>
      <w:bookmarkEnd w:id="47"/>
      <w:bookmarkEnd w:id="48"/>
      <w:bookmarkEnd w:id="49"/>
      <w:bookmarkEnd w:id="50"/>
    </w:p>
    <w:p>
      <w:pPr>
        <w:spacing w:before="114" w:beforeLines="30" w:after="114" w:afterLines="30"/>
        <w:ind w:firstLine="480"/>
        <w:rPr>
          <w:rFonts w:eastAsia="仿宋_GB2312"/>
          <w:sz w:val="24"/>
        </w:rPr>
      </w:pPr>
      <w:r>
        <w:rPr>
          <w:rFonts w:hint="eastAsia" w:eastAsia="仿宋_GB2312"/>
          <w:sz w:val="24"/>
        </w:rPr>
        <w:t>曙光金铜矿2020年环保税申报及缴纳情况见表4-6。</w:t>
      </w:r>
    </w:p>
    <w:p>
      <w:pPr>
        <w:pStyle w:val="10"/>
        <w:spacing w:beforeLines="0" w:line="240" w:lineRule="auto"/>
      </w:pPr>
      <w:r>
        <w:rPr>
          <w:rFonts w:hint="eastAsia"/>
        </w:rPr>
        <w:t>表4-6 环保税申报缴纳情况</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6"/>
        <w:gridCol w:w="1568"/>
        <w:gridCol w:w="2114"/>
        <w:gridCol w:w="2524"/>
        <w:gridCol w:w="21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20" w:type="pct"/>
            <w:vAlign w:val="center"/>
          </w:tcPr>
          <w:p>
            <w:pPr>
              <w:spacing w:before="152" w:after="152" w:line="240" w:lineRule="auto"/>
              <w:ind w:firstLine="0" w:firstLineChars="0"/>
              <w:jc w:val="center"/>
              <w:rPr>
                <w:b/>
                <w:sz w:val="21"/>
              </w:rPr>
            </w:pPr>
            <w:r>
              <w:rPr>
                <w:rFonts w:hint="eastAsia"/>
                <w:b/>
                <w:sz w:val="21"/>
              </w:rPr>
              <w:t>序</w:t>
            </w:r>
            <w:r>
              <w:rPr>
                <w:b/>
                <w:sz w:val="21"/>
              </w:rPr>
              <w:t>号</w:t>
            </w:r>
          </w:p>
        </w:tc>
        <w:tc>
          <w:tcPr>
            <w:tcW w:w="844" w:type="pct"/>
            <w:vAlign w:val="center"/>
          </w:tcPr>
          <w:p>
            <w:pPr>
              <w:spacing w:before="152" w:after="152" w:line="240" w:lineRule="auto"/>
              <w:ind w:firstLine="0" w:firstLineChars="0"/>
              <w:jc w:val="center"/>
              <w:rPr>
                <w:b/>
                <w:sz w:val="21"/>
              </w:rPr>
            </w:pPr>
            <w:r>
              <w:rPr>
                <w:rFonts w:hint="eastAsia"/>
                <w:b/>
                <w:sz w:val="21"/>
              </w:rPr>
              <w:t>年份</w:t>
            </w:r>
          </w:p>
        </w:tc>
        <w:tc>
          <w:tcPr>
            <w:tcW w:w="1138" w:type="pct"/>
            <w:vAlign w:val="center"/>
          </w:tcPr>
          <w:p>
            <w:pPr>
              <w:spacing w:before="152" w:after="152" w:line="240" w:lineRule="auto"/>
              <w:ind w:firstLine="0" w:firstLineChars="0"/>
              <w:jc w:val="center"/>
              <w:rPr>
                <w:b/>
                <w:sz w:val="21"/>
              </w:rPr>
            </w:pPr>
            <w:r>
              <w:rPr>
                <w:rFonts w:hint="eastAsia"/>
                <w:b/>
                <w:sz w:val="21"/>
              </w:rPr>
              <w:t>应缴金额</w:t>
            </w:r>
            <w:r>
              <w:rPr>
                <w:b/>
                <w:sz w:val="21"/>
              </w:rPr>
              <w:t>（元）</w:t>
            </w:r>
          </w:p>
        </w:tc>
        <w:tc>
          <w:tcPr>
            <w:tcW w:w="1359" w:type="pct"/>
            <w:vAlign w:val="center"/>
          </w:tcPr>
          <w:p>
            <w:pPr>
              <w:spacing w:before="152" w:after="152" w:line="240" w:lineRule="auto"/>
              <w:ind w:firstLine="0" w:firstLineChars="0"/>
              <w:jc w:val="center"/>
              <w:rPr>
                <w:b/>
                <w:sz w:val="21"/>
              </w:rPr>
            </w:pPr>
            <w:r>
              <w:rPr>
                <w:rFonts w:hint="eastAsia"/>
                <w:b/>
                <w:sz w:val="21"/>
              </w:rPr>
              <w:t>实缴金额（元）</w:t>
            </w:r>
          </w:p>
        </w:tc>
        <w:tc>
          <w:tcPr>
            <w:tcW w:w="1138" w:type="pct"/>
            <w:vAlign w:val="center"/>
          </w:tcPr>
          <w:p>
            <w:pPr>
              <w:spacing w:before="152" w:after="152" w:line="240" w:lineRule="auto"/>
              <w:ind w:firstLine="0" w:firstLineChars="0"/>
              <w:jc w:val="center"/>
              <w:rPr>
                <w:b/>
                <w:sz w:val="21"/>
              </w:rPr>
            </w:pPr>
            <w:r>
              <w:rPr>
                <w:rFonts w:hint="eastAsia"/>
                <w:b/>
                <w:sz w:val="21"/>
              </w:rPr>
              <w:t>环保税</w:t>
            </w:r>
            <w:r>
              <w:rPr>
                <w:b/>
                <w:sz w:val="21"/>
              </w:rPr>
              <w:t>征收机构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20" w:type="pct"/>
            <w:vAlign w:val="center"/>
          </w:tcPr>
          <w:p>
            <w:pPr>
              <w:spacing w:before="152" w:after="152" w:line="240" w:lineRule="auto"/>
              <w:ind w:firstLine="0" w:firstLineChars="0"/>
              <w:jc w:val="center"/>
              <w:rPr>
                <w:sz w:val="21"/>
              </w:rPr>
            </w:pPr>
            <w:r>
              <w:rPr>
                <w:rFonts w:hint="eastAsia"/>
                <w:sz w:val="21"/>
              </w:rPr>
              <w:t>1</w:t>
            </w:r>
          </w:p>
        </w:tc>
        <w:tc>
          <w:tcPr>
            <w:tcW w:w="844" w:type="pct"/>
            <w:vAlign w:val="center"/>
          </w:tcPr>
          <w:p>
            <w:pPr>
              <w:pStyle w:val="19"/>
              <w:spacing w:before="95" w:beforeLines="25" w:after="95" w:afterLines="25"/>
              <w:rPr>
                <w:rFonts w:ascii="Times New Roman" w:hAnsi="Times New Roman" w:eastAsia="宋体"/>
              </w:rPr>
            </w:pPr>
            <w:r>
              <w:rPr>
                <w:rFonts w:hint="eastAsia" w:ascii="Times New Roman" w:hAnsi="Times New Roman" w:eastAsia="宋体"/>
              </w:rPr>
              <w:t>2020</w:t>
            </w:r>
          </w:p>
        </w:tc>
        <w:tc>
          <w:tcPr>
            <w:tcW w:w="1138" w:type="pct"/>
            <w:vAlign w:val="center"/>
          </w:tcPr>
          <w:p>
            <w:pPr>
              <w:pStyle w:val="19"/>
              <w:spacing w:before="95" w:beforeLines="25" w:after="95" w:afterLines="25"/>
              <w:rPr>
                <w:rFonts w:ascii="Times New Roman" w:hAnsi="Times New Roman" w:eastAsia="宋体"/>
              </w:rPr>
            </w:pPr>
            <w:r>
              <w:rPr>
                <w:rFonts w:hint="eastAsia" w:ascii="Times New Roman" w:hAnsi="Times New Roman" w:eastAsia="宋体"/>
              </w:rPr>
              <w:t>44211.99</w:t>
            </w:r>
          </w:p>
        </w:tc>
        <w:tc>
          <w:tcPr>
            <w:tcW w:w="1359" w:type="pct"/>
            <w:vAlign w:val="center"/>
          </w:tcPr>
          <w:p>
            <w:pPr>
              <w:pStyle w:val="19"/>
              <w:spacing w:before="95" w:beforeLines="25" w:after="95" w:afterLines="25"/>
              <w:rPr>
                <w:rFonts w:ascii="Times New Roman" w:hAnsi="Times New Roman" w:eastAsia="宋体"/>
              </w:rPr>
            </w:pPr>
            <w:r>
              <w:rPr>
                <w:rFonts w:hint="eastAsia" w:ascii="Times New Roman" w:hAnsi="Times New Roman" w:eastAsia="宋体"/>
              </w:rPr>
              <w:t>44211.99</w:t>
            </w:r>
          </w:p>
        </w:tc>
        <w:tc>
          <w:tcPr>
            <w:tcW w:w="1138" w:type="pct"/>
            <w:vAlign w:val="center"/>
          </w:tcPr>
          <w:p>
            <w:pPr>
              <w:pStyle w:val="19"/>
              <w:spacing w:before="95" w:beforeLines="25" w:after="95" w:afterLines="25"/>
              <w:rPr>
                <w:rFonts w:ascii="Times New Roman" w:hAnsi="Times New Roman" w:eastAsia="宋体"/>
              </w:rPr>
            </w:pPr>
            <w:r>
              <w:rPr>
                <w:rFonts w:hint="eastAsia" w:ascii="Times New Roman" w:hAnsi="Times New Roman" w:eastAsia="宋体"/>
              </w:rPr>
              <w:t>国家税务总局吉林省电子税务局</w:t>
            </w:r>
          </w:p>
        </w:tc>
      </w:tr>
    </w:tbl>
    <w:p>
      <w:pPr>
        <w:spacing w:before="152" w:after="152"/>
        <w:ind w:firstLine="560"/>
      </w:pPr>
    </w:p>
    <w:p>
      <w:pPr>
        <w:spacing w:before="152" w:after="152"/>
        <w:ind w:firstLine="560"/>
      </w:pPr>
    </w:p>
    <w:p>
      <w:pPr>
        <w:spacing w:before="152" w:after="152"/>
        <w:ind w:firstLine="560"/>
        <w:sectPr>
          <w:pgSz w:w="11906" w:h="16838"/>
          <w:pgMar w:top="1418" w:right="1418" w:bottom="1418" w:left="1418" w:header="851" w:footer="992" w:gutter="0"/>
          <w:cols w:space="720" w:num="1"/>
          <w:docGrid w:type="lines" w:linePitch="381" w:charSpace="0"/>
        </w:sectPr>
      </w:pPr>
    </w:p>
    <w:p>
      <w:pPr>
        <w:pStyle w:val="2"/>
        <w:spacing w:beforeLines="0" w:afterLines="0" w:line="240" w:lineRule="auto"/>
        <w:rPr>
          <w:b w:val="0"/>
          <w:sz w:val="30"/>
          <w:szCs w:val="30"/>
        </w:rPr>
      </w:pPr>
      <w:bookmarkStart w:id="51" w:name="_Toc66281447"/>
      <w:bookmarkStart w:id="52" w:name="_Toc441676838"/>
      <w:r>
        <w:rPr>
          <w:rFonts w:hint="eastAsia"/>
          <w:b w:val="0"/>
          <w:sz w:val="30"/>
          <w:szCs w:val="30"/>
        </w:rPr>
        <w:t>5 突发环境事件应急预案及演练情况</w:t>
      </w:r>
      <w:bookmarkEnd w:id="39"/>
      <w:bookmarkEnd w:id="40"/>
      <w:bookmarkEnd w:id="41"/>
      <w:bookmarkEnd w:id="51"/>
      <w:bookmarkEnd w:id="52"/>
    </w:p>
    <w:p>
      <w:pPr>
        <w:pStyle w:val="3"/>
        <w:rPr>
          <w:color w:val="auto"/>
        </w:rPr>
      </w:pPr>
      <w:bookmarkStart w:id="53" w:name="_Toc441676839"/>
      <w:bookmarkStart w:id="54" w:name="_Toc329529482"/>
      <w:bookmarkStart w:id="55" w:name="_Toc435621457"/>
      <w:bookmarkStart w:id="56" w:name="_Toc380682328"/>
      <w:bookmarkStart w:id="57" w:name="_Toc66281448"/>
      <w:r>
        <w:rPr>
          <w:color w:val="auto"/>
        </w:rPr>
        <w:t>5.1 突发环境事件应急预案</w:t>
      </w:r>
      <w:bookmarkEnd w:id="53"/>
      <w:bookmarkEnd w:id="54"/>
      <w:bookmarkEnd w:id="55"/>
      <w:bookmarkEnd w:id="56"/>
      <w:bookmarkEnd w:id="57"/>
    </w:p>
    <w:p>
      <w:pPr>
        <w:snapToGrid w:val="0"/>
        <w:spacing w:before="114" w:beforeLines="30" w:after="114" w:afterLines="30"/>
        <w:ind w:firstLine="480"/>
        <w:rPr>
          <w:rFonts w:eastAsia="仿宋_GB2312"/>
          <w:sz w:val="24"/>
        </w:rPr>
      </w:pPr>
      <w:r>
        <w:rPr>
          <w:rFonts w:hint="eastAsia" w:eastAsia="仿宋_GB2312"/>
          <w:sz w:val="24"/>
        </w:rPr>
        <w:t>曙光金铜矿</w:t>
      </w:r>
      <w:r>
        <w:rPr>
          <w:rFonts w:eastAsia="仿宋_GB2312"/>
          <w:sz w:val="24"/>
        </w:rPr>
        <w:t>为高效有序地做好企业突发环境污染事故应急处置和救援工作，</w:t>
      </w:r>
      <w:r>
        <w:rPr>
          <w:rFonts w:hint="eastAsia" w:eastAsia="仿宋_GB2312"/>
          <w:sz w:val="24"/>
        </w:rPr>
        <w:t>避免或最大程度地减轻环境污染事故造成的损失，保障员工生命和企业财产安全，维护社会稳定，制定了规范的突发环境事件应急预案，并于2016年4月11日在珲春市环境保护局备案，备案号为222404-2016-001-L。2</w:t>
      </w:r>
      <w:r>
        <w:rPr>
          <w:rFonts w:eastAsia="仿宋_GB2312"/>
          <w:sz w:val="24"/>
        </w:rPr>
        <w:t>019</w:t>
      </w:r>
      <w:r>
        <w:rPr>
          <w:rFonts w:hint="eastAsia" w:eastAsia="仿宋_GB2312"/>
          <w:sz w:val="24"/>
        </w:rPr>
        <w:t>年，企业根据实际情况对现有应急预案进行了修改，并于2019年10日28日在珲春市环境保护局备案，备案号为</w:t>
      </w:r>
      <w:r>
        <w:rPr>
          <w:rFonts w:eastAsia="仿宋_GB2312"/>
          <w:sz w:val="24"/>
        </w:rPr>
        <w:t>222404-2019-011-L</w:t>
      </w:r>
      <w:r>
        <w:rPr>
          <w:rFonts w:hint="eastAsia" w:eastAsia="仿宋_GB2312"/>
          <w:sz w:val="24"/>
        </w:rPr>
        <w:t>。该应急预案详细描述了应急组织组成及职责，确定救援专业组名单，制定事故状态下应采取的处置措施等。尽可能将事故影响控制在最小范围内。</w:t>
      </w:r>
    </w:p>
    <w:p>
      <w:pPr>
        <w:snapToGrid w:val="0"/>
        <w:spacing w:before="114" w:beforeLines="30" w:after="114" w:afterLines="30"/>
        <w:ind w:firstLine="480"/>
        <w:rPr>
          <w:rFonts w:eastAsia="仿宋_GB2312"/>
          <w:sz w:val="24"/>
        </w:rPr>
      </w:pPr>
      <w:r>
        <w:rPr>
          <w:rFonts w:hint="eastAsia" w:eastAsia="仿宋_GB2312"/>
          <w:sz w:val="24"/>
        </w:rPr>
        <w:t>此外曙光金铜矿于2019年1月2日完成《</w:t>
      </w:r>
      <w:r>
        <w:rPr>
          <w:rFonts w:eastAsia="仿宋_GB2312"/>
          <w:sz w:val="24"/>
        </w:rPr>
        <w:t>珲春紫金矿业有限公司曙光金铜矿2期尾矿库突发环境事件应急预案</w:t>
      </w:r>
      <w:r>
        <w:rPr>
          <w:rFonts w:hint="eastAsia" w:eastAsia="仿宋_GB2312"/>
          <w:sz w:val="24"/>
        </w:rPr>
        <w:t>》和《</w:t>
      </w:r>
      <w:r>
        <w:rPr>
          <w:rFonts w:eastAsia="仿宋_GB2312"/>
          <w:sz w:val="24"/>
        </w:rPr>
        <w:t>珲春紫金矿业有限公司曙光金铜矿</w:t>
      </w:r>
      <w:r>
        <w:rPr>
          <w:rFonts w:hint="eastAsia" w:eastAsia="仿宋_GB2312"/>
          <w:sz w:val="24"/>
        </w:rPr>
        <w:t>3</w:t>
      </w:r>
      <w:r>
        <w:rPr>
          <w:rFonts w:eastAsia="仿宋_GB2312"/>
          <w:sz w:val="24"/>
        </w:rPr>
        <w:t>期尾矿库突发环境事件应急预案</w:t>
      </w:r>
      <w:r>
        <w:rPr>
          <w:rFonts w:hint="eastAsia" w:eastAsia="仿宋_GB2312"/>
          <w:sz w:val="24"/>
        </w:rPr>
        <w:t>》备案，备案号分别为</w:t>
      </w:r>
      <w:r>
        <w:rPr>
          <w:rFonts w:eastAsia="仿宋_GB2312"/>
          <w:sz w:val="24"/>
        </w:rPr>
        <w:t>222404-2019-001-M</w:t>
      </w:r>
      <w:r>
        <w:rPr>
          <w:rFonts w:hint="eastAsia" w:eastAsia="仿宋_GB2312"/>
          <w:sz w:val="24"/>
        </w:rPr>
        <w:t>和</w:t>
      </w:r>
      <w:r>
        <w:rPr>
          <w:rFonts w:eastAsia="仿宋_GB2312"/>
          <w:sz w:val="24"/>
        </w:rPr>
        <w:t>222404-2019-002-M</w:t>
      </w:r>
      <w:r>
        <w:rPr>
          <w:rFonts w:hint="eastAsia" w:eastAsia="仿宋_GB2312"/>
          <w:sz w:val="24"/>
        </w:rPr>
        <w:t>。</w:t>
      </w:r>
    </w:p>
    <w:p>
      <w:pPr>
        <w:snapToGrid w:val="0"/>
        <w:spacing w:before="114" w:beforeLines="30" w:after="114" w:afterLines="30"/>
        <w:ind w:firstLine="480"/>
        <w:rPr>
          <w:rFonts w:eastAsia="仿宋_GB2312"/>
          <w:sz w:val="24"/>
        </w:rPr>
      </w:pPr>
      <w:r>
        <w:rPr>
          <w:rFonts w:hint="eastAsia" w:eastAsia="仿宋_GB2312"/>
          <w:sz w:val="24"/>
        </w:rPr>
        <w:t>曙光金铜矿为进一步提高环境污染事故的应对能力，及时有效地整合人力、物力、信息等资源，做好环境污染事故的现场救援管理，确保员工生命和公司财产安全，公司结合实际，制定了应急演练方案，并分别于2020年6月28日和2020年6月10日开展了“尾矿库突发环境事件应急演练”以及“废液储箱泄漏现场处置应急演练”。</w:t>
      </w:r>
    </w:p>
    <w:p>
      <w:pPr>
        <w:snapToGrid w:val="0"/>
        <w:spacing w:before="114" w:beforeLines="30" w:after="114" w:afterLines="30"/>
        <w:ind w:firstLine="480"/>
        <w:rPr>
          <w:rFonts w:eastAsia="仿宋_GB2312"/>
          <w:sz w:val="24"/>
        </w:rPr>
      </w:pPr>
      <w:r>
        <w:rPr>
          <w:rFonts w:hint="eastAsia" w:eastAsia="仿宋_GB2312"/>
          <w:sz w:val="24"/>
        </w:rPr>
        <w:t>曙光金铜矿突发环境事件应急预案备案及环境风险防范情况见表5-1，应急预案演练情况见表5-2。</w:t>
      </w:r>
    </w:p>
    <w:p>
      <w:pPr>
        <w:pStyle w:val="10"/>
        <w:spacing w:beforeLines="0" w:line="240" w:lineRule="auto"/>
      </w:pPr>
      <w:r>
        <w:t>表</w:t>
      </w:r>
      <w:r>
        <w:rPr>
          <w:rFonts w:hint="eastAsia"/>
        </w:rPr>
        <w:t>5-1 突发环境事件应急预案备案及</w:t>
      </w:r>
      <w:r>
        <w:t>环境风险防范情况</w:t>
      </w:r>
    </w:p>
    <w:tbl>
      <w:tblPr>
        <w:tblStyle w:val="11"/>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9"/>
        <w:gridCol w:w="926"/>
        <w:gridCol w:w="771"/>
        <w:gridCol w:w="927"/>
        <w:gridCol w:w="1239"/>
        <w:gridCol w:w="743"/>
        <w:gridCol w:w="850"/>
        <w:gridCol w:w="1560"/>
        <w:gridCol w:w="13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 w:hRule="atLeast"/>
          <w:tblHeader/>
          <w:jc w:val="center"/>
        </w:trPr>
        <w:tc>
          <w:tcPr>
            <w:tcW w:w="889" w:type="dxa"/>
            <w:vMerge w:val="restart"/>
            <w:vAlign w:val="center"/>
          </w:tcPr>
          <w:p>
            <w:pPr>
              <w:snapToGrid w:val="0"/>
              <w:spacing w:beforeLines="0" w:afterLines="0" w:line="240" w:lineRule="auto"/>
              <w:ind w:firstLine="0" w:firstLineChars="0"/>
              <w:jc w:val="center"/>
              <w:rPr>
                <w:b/>
                <w:sz w:val="21"/>
                <w:szCs w:val="21"/>
              </w:rPr>
            </w:pPr>
            <w:r>
              <w:rPr>
                <w:rFonts w:hint="eastAsia"/>
                <w:b/>
                <w:sz w:val="21"/>
                <w:szCs w:val="21"/>
              </w:rPr>
              <w:t>预案名称</w:t>
            </w:r>
          </w:p>
        </w:tc>
        <w:tc>
          <w:tcPr>
            <w:tcW w:w="926" w:type="dxa"/>
            <w:vMerge w:val="restart"/>
            <w:vAlign w:val="center"/>
          </w:tcPr>
          <w:p>
            <w:pPr>
              <w:snapToGrid w:val="0"/>
              <w:spacing w:beforeLines="0" w:afterLines="0" w:line="240" w:lineRule="auto"/>
              <w:ind w:firstLine="0" w:firstLineChars="0"/>
              <w:jc w:val="center"/>
              <w:rPr>
                <w:b/>
                <w:sz w:val="21"/>
                <w:szCs w:val="21"/>
              </w:rPr>
            </w:pPr>
            <w:r>
              <w:rPr>
                <w:rFonts w:hint="eastAsia"/>
                <w:b/>
                <w:sz w:val="21"/>
                <w:szCs w:val="21"/>
              </w:rPr>
              <w:t>预案发布时间</w:t>
            </w:r>
          </w:p>
        </w:tc>
        <w:tc>
          <w:tcPr>
            <w:tcW w:w="771" w:type="dxa"/>
            <w:vMerge w:val="restart"/>
            <w:vAlign w:val="center"/>
          </w:tcPr>
          <w:p>
            <w:pPr>
              <w:snapToGrid w:val="0"/>
              <w:spacing w:beforeLines="0" w:afterLines="0" w:line="240" w:lineRule="auto"/>
              <w:ind w:firstLine="0" w:firstLineChars="0"/>
              <w:jc w:val="center"/>
              <w:rPr>
                <w:b/>
                <w:sz w:val="21"/>
                <w:szCs w:val="21"/>
              </w:rPr>
            </w:pPr>
            <w:r>
              <w:rPr>
                <w:rFonts w:hint="eastAsia"/>
                <w:b/>
                <w:sz w:val="21"/>
                <w:szCs w:val="21"/>
              </w:rPr>
              <w:t>预案备案单位</w:t>
            </w:r>
          </w:p>
        </w:tc>
        <w:tc>
          <w:tcPr>
            <w:tcW w:w="927" w:type="dxa"/>
            <w:vMerge w:val="restart"/>
            <w:vAlign w:val="center"/>
          </w:tcPr>
          <w:p>
            <w:pPr>
              <w:snapToGrid w:val="0"/>
              <w:spacing w:beforeLines="0" w:afterLines="0" w:line="240" w:lineRule="auto"/>
              <w:ind w:firstLine="0" w:firstLineChars="0"/>
              <w:jc w:val="center"/>
              <w:rPr>
                <w:b/>
                <w:sz w:val="21"/>
                <w:szCs w:val="21"/>
              </w:rPr>
            </w:pPr>
            <w:r>
              <w:rPr>
                <w:rFonts w:hint="eastAsia"/>
                <w:b/>
                <w:sz w:val="21"/>
                <w:szCs w:val="21"/>
              </w:rPr>
              <w:t>预案备案时间</w:t>
            </w:r>
          </w:p>
        </w:tc>
        <w:tc>
          <w:tcPr>
            <w:tcW w:w="2832" w:type="dxa"/>
            <w:gridSpan w:val="3"/>
            <w:vAlign w:val="center"/>
          </w:tcPr>
          <w:p>
            <w:pPr>
              <w:snapToGrid w:val="0"/>
              <w:spacing w:beforeLines="0" w:afterLines="0" w:line="240" w:lineRule="auto"/>
              <w:ind w:firstLine="0" w:firstLineChars="0"/>
              <w:jc w:val="center"/>
              <w:rPr>
                <w:b/>
                <w:sz w:val="21"/>
                <w:szCs w:val="21"/>
              </w:rPr>
            </w:pPr>
            <w:r>
              <w:rPr>
                <w:b/>
                <w:sz w:val="21"/>
                <w:szCs w:val="21"/>
              </w:rPr>
              <w:t>主要环境风险防范设施</w:t>
            </w:r>
          </w:p>
        </w:tc>
        <w:tc>
          <w:tcPr>
            <w:tcW w:w="2941" w:type="dxa"/>
            <w:gridSpan w:val="2"/>
            <w:vAlign w:val="center"/>
          </w:tcPr>
          <w:p>
            <w:pPr>
              <w:snapToGrid w:val="0"/>
              <w:spacing w:beforeLines="0" w:afterLines="0" w:line="240" w:lineRule="auto"/>
              <w:ind w:firstLine="0" w:firstLineChars="0"/>
              <w:jc w:val="center"/>
              <w:rPr>
                <w:b/>
                <w:sz w:val="21"/>
                <w:szCs w:val="21"/>
              </w:rPr>
            </w:pPr>
            <w:r>
              <w:rPr>
                <w:b/>
                <w:sz w:val="21"/>
                <w:szCs w:val="21"/>
              </w:rPr>
              <w:t>应急物资储备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 w:hRule="atLeast"/>
          <w:tblHeader/>
          <w:jc w:val="center"/>
        </w:trPr>
        <w:tc>
          <w:tcPr>
            <w:tcW w:w="889" w:type="dxa"/>
            <w:vMerge w:val="continue"/>
            <w:vAlign w:val="center"/>
          </w:tcPr>
          <w:p>
            <w:pPr>
              <w:snapToGrid w:val="0"/>
              <w:spacing w:beforeLines="0" w:afterLines="0" w:line="240" w:lineRule="auto"/>
              <w:ind w:firstLine="0" w:firstLineChars="0"/>
              <w:jc w:val="center"/>
              <w:rPr>
                <w:sz w:val="21"/>
                <w:szCs w:val="21"/>
              </w:rPr>
            </w:pPr>
          </w:p>
        </w:tc>
        <w:tc>
          <w:tcPr>
            <w:tcW w:w="926" w:type="dxa"/>
            <w:vMerge w:val="continue"/>
            <w:vAlign w:val="center"/>
          </w:tcPr>
          <w:p>
            <w:pPr>
              <w:snapToGrid w:val="0"/>
              <w:spacing w:beforeLines="0" w:afterLines="0" w:line="240" w:lineRule="auto"/>
              <w:ind w:firstLine="0" w:firstLineChars="0"/>
              <w:jc w:val="center"/>
              <w:rPr>
                <w:sz w:val="21"/>
                <w:szCs w:val="21"/>
              </w:rPr>
            </w:pPr>
          </w:p>
        </w:tc>
        <w:tc>
          <w:tcPr>
            <w:tcW w:w="771" w:type="dxa"/>
            <w:vMerge w:val="continue"/>
            <w:vAlign w:val="center"/>
          </w:tcPr>
          <w:p>
            <w:pPr>
              <w:snapToGrid w:val="0"/>
              <w:spacing w:beforeLines="0" w:afterLines="0" w:line="240" w:lineRule="auto"/>
              <w:ind w:firstLine="0" w:firstLineChars="0"/>
              <w:jc w:val="center"/>
              <w:rPr>
                <w:sz w:val="21"/>
                <w:szCs w:val="21"/>
              </w:rPr>
            </w:pPr>
          </w:p>
        </w:tc>
        <w:tc>
          <w:tcPr>
            <w:tcW w:w="927" w:type="dxa"/>
            <w:vMerge w:val="continue"/>
            <w:vAlign w:val="center"/>
          </w:tcPr>
          <w:p>
            <w:pPr>
              <w:snapToGrid w:val="0"/>
              <w:spacing w:beforeLines="0" w:afterLines="0" w:line="240" w:lineRule="auto"/>
              <w:ind w:firstLine="0" w:firstLineChars="0"/>
              <w:jc w:val="center"/>
              <w:rPr>
                <w:b/>
                <w:sz w:val="21"/>
                <w:szCs w:val="21"/>
              </w:rPr>
            </w:pPr>
          </w:p>
        </w:tc>
        <w:tc>
          <w:tcPr>
            <w:tcW w:w="1239" w:type="dxa"/>
            <w:vAlign w:val="center"/>
          </w:tcPr>
          <w:p>
            <w:pPr>
              <w:snapToGrid w:val="0"/>
              <w:spacing w:beforeLines="0" w:afterLines="0" w:line="240" w:lineRule="auto"/>
              <w:ind w:firstLine="0" w:firstLineChars="0"/>
              <w:jc w:val="center"/>
              <w:rPr>
                <w:b/>
                <w:sz w:val="21"/>
                <w:szCs w:val="21"/>
              </w:rPr>
            </w:pPr>
            <w:r>
              <w:rPr>
                <w:b/>
                <w:sz w:val="21"/>
                <w:szCs w:val="21"/>
              </w:rPr>
              <w:t>建设</w:t>
            </w:r>
          </w:p>
          <w:p>
            <w:pPr>
              <w:snapToGrid w:val="0"/>
              <w:spacing w:beforeLines="0" w:afterLines="0" w:line="240" w:lineRule="auto"/>
              <w:ind w:firstLine="0" w:firstLineChars="0"/>
              <w:jc w:val="center"/>
              <w:rPr>
                <w:b/>
                <w:sz w:val="21"/>
                <w:szCs w:val="21"/>
              </w:rPr>
            </w:pPr>
            <w:r>
              <w:rPr>
                <w:b/>
                <w:sz w:val="21"/>
                <w:szCs w:val="21"/>
              </w:rPr>
              <w:t>内容</w:t>
            </w:r>
          </w:p>
        </w:tc>
        <w:tc>
          <w:tcPr>
            <w:tcW w:w="743" w:type="dxa"/>
            <w:vAlign w:val="center"/>
          </w:tcPr>
          <w:p>
            <w:pPr>
              <w:snapToGrid w:val="0"/>
              <w:spacing w:beforeLines="0" w:afterLines="0" w:line="240" w:lineRule="auto"/>
              <w:ind w:firstLine="0" w:firstLineChars="0"/>
              <w:jc w:val="center"/>
              <w:rPr>
                <w:b/>
                <w:sz w:val="21"/>
                <w:szCs w:val="21"/>
              </w:rPr>
            </w:pPr>
            <w:r>
              <w:rPr>
                <w:b/>
                <w:sz w:val="21"/>
                <w:szCs w:val="21"/>
              </w:rPr>
              <w:t>是否</w:t>
            </w:r>
          </w:p>
          <w:p>
            <w:pPr>
              <w:snapToGrid w:val="0"/>
              <w:spacing w:beforeLines="0" w:afterLines="0" w:line="240" w:lineRule="auto"/>
              <w:ind w:firstLine="0" w:firstLineChars="0"/>
              <w:jc w:val="center"/>
              <w:rPr>
                <w:b/>
                <w:sz w:val="21"/>
                <w:szCs w:val="21"/>
              </w:rPr>
            </w:pPr>
            <w:r>
              <w:rPr>
                <w:b/>
                <w:sz w:val="21"/>
                <w:szCs w:val="21"/>
              </w:rPr>
              <w:t>完善</w:t>
            </w:r>
          </w:p>
        </w:tc>
        <w:tc>
          <w:tcPr>
            <w:tcW w:w="850" w:type="dxa"/>
            <w:vAlign w:val="center"/>
          </w:tcPr>
          <w:p>
            <w:pPr>
              <w:snapToGrid w:val="0"/>
              <w:spacing w:beforeLines="0" w:afterLines="0" w:line="240" w:lineRule="auto"/>
              <w:ind w:firstLine="0" w:firstLineChars="0"/>
              <w:jc w:val="center"/>
              <w:rPr>
                <w:b/>
                <w:sz w:val="21"/>
                <w:szCs w:val="21"/>
              </w:rPr>
            </w:pPr>
            <w:r>
              <w:rPr>
                <w:b/>
                <w:sz w:val="21"/>
                <w:szCs w:val="21"/>
              </w:rPr>
              <w:t>是否处于正常状态</w:t>
            </w:r>
          </w:p>
        </w:tc>
        <w:tc>
          <w:tcPr>
            <w:tcW w:w="1560" w:type="dxa"/>
            <w:vAlign w:val="center"/>
          </w:tcPr>
          <w:p>
            <w:pPr>
              <w:snapToGrid w:val="0"/>
              <w:spacing w:beforeLines="0" w:afterLines="0" w:line="240" w:lineRule="auto"/>
              <w:ind w:firstLine="0" w:firstLineChars="0"/>
              <w:jc w:val="center"/>
              <w:rPr>
                <w:b/>
                <w:sz w:val="21"/>
                <w:szCs w:val="21"/>
              </w:rPr>
            </w:pPr>
            <w:r>
              <w:rPr>
                <w:b/>
                <w:sz w:val="21"/>
                <w:szCs w:val="21"/>
              </w:rPr>
              <w:t>储备</w:t>
            </w:r>
          </w:p>
          <w:p>
            <w:pPr>
              <w:snapToGrid w:val="0"/>
              <w:spacing w:beforeLines="0" w:afterLines="0" w:line="240" w:lineRule="auto"/>
              <w:ind w:firstLine="0" w:firstLineChars="0"/>
              <w:jc w:val="center"/>
              <w:rPr>
                <w:b/>
                <w:sz w:val="21"/>
                <w:szCs w:val="21"/>
              </w:rPr>
            </w:pPr>
            <w:r>
              <w:rPr>
                <w:rFonts w:hint="eastAsia"/>
                <w:b/>
                <w:sz w:val="21"/>
                <w:szCs w:val="21"/>
              </w:rPr>
              <w:t>内容</w:t>
            </w:r>
          </w:p>
        </w:tc>
        <w:tc>
          <w:tcPr>
            <w:tcW w:w="1381" w:type="dxa"/>
            <w:vAlign w:val="center"/>
          </w:tcPr>
          <w:p>
            <w:pPr>
              <w:snapToGrid w:val="0"/>
              <w:spacing w:beforeLines="0" w:afterLines="0" w:line="240" w:lineRule="auto"/>
              <w:ind w:firstLine="0" w:firstLineChars="0"/>
              <w:jc w:val="center"/>
              <w:rPr>
                <w:b/>
                <w:sz w:val="21"/>
                <w:szCs w:val="21"/>
              </w:rPr>
            </w:pPr>
            <w:r>
              <w:rPr>
                <w:b/>
                <w:sz w:val="21"/>
                <w:szCs w:val="21"/>
              </w:rPr>
              <w:t>储备</w:t>
            </w:r>
          </w:p>
          <w:p>
            <w:pPr>
              <w:snapToGrid w:val="0"/>
              <w:spacing w:beforeLines="0" w:afterLines="0" w:line="240" w:lineRule="auto"/>
              <w:ind w:firstLine="0" w:firstLineChars="0"/>
              <w:jc w:val="center"/>
              <w:rPr>
                <w:b/>
                <w:sz w:val="21"/>
                <w:szCs w:val="21"/>
              </w:rPr>
            </w:pPr>
            <w:r>
              <w:rPr>
                <w:rFonts w:hint="eastAsia"/>
                <w:b/>
                <w:sz w:val="21"/>
                <w:szCs w:val="21"/>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0" w:hRule="atLeast"/>
          <w:jc w:val="center"/>
        </w:trPr>
        <w:tc>
          <w:tcPr>
            <w:tcW w:w="889" w:type="dxa"/>
            <w:vMerge w:val="restart"/>
            <w:vAlign w:val="center"/>
          </w:tcPr>
          <w:p>
            <w:pPr>
              <w:snapToGrid w:val="0"/>
              <w:spacing w:beforeLines="0" w:afterLines="0" w:line="240" w:lineRule="auto"/>
              <w:ind w:firstLine="0" w:firstLineChars="0"/>
              <w:jc w:val="center"/>
              <w:rPr>
                <w:rFonts w:ascii="宋体" w:hAnsi="宋体"/>
                <w:spacing w:val="20"/>
                <w:sz w:val="21"/>
                <w:szCs w:val="21"/>
              </w:rPr>
            </w:pPr>
            <w:r>
              <w:rPr>
                <w:rFonts w:hint="eastAsia" w:ascii="宋体" w:hAnsi="宋体"/>
                <w:spacing w:val="20"/>
                <w:sz w:val="21"/>
                <w:szCs w:val="21"/>
              </w:rPr>
              <w:t>突发环境事件应急预案</w:t>
            </w:r>
          </w:p>
        </w:tc>
        <w:tc>
          <w:tcPr>
            <w:tcW w:w="926" w:type="dxa"/>
            <w:vMerge w:val="restart"/>
            <w:vAlign w:val="center"/>
          </w:tcPr>
          <w:p>
            <w:pPr>
              <w:pStyle w:val="5"/>
              <w:snapToGrid w:val="0"/>
              <w:rPr>
                <w:rFonts w:ascii="Times New Roman" w:hAnsi="Times New Roman" w:cs="Times New Roman"/>
              </w:rPr>
            </w:pPr>
            <w:r>
              <w:rPr>
                <w:rFonts w:hint="eastAsia" w:ascii="Times New Roman" w:hAnsi="Times New Roman" w:cs="Times New Roman"/>
              </w:rPr>
              <w:t>2019.10</w:t>
            </w:r>
          </w:p>
        </w:tc>
        <w:tc>
          <w:tcPr>
            <w:tcW w:w="771" w:type="dxa"/>
            <w:vMerge w:val="restart"/>
            <w:vAlign w:val="center"/>
          </w:tcPr>
          <w:p>
            <w:pPr>
              <w:pStyle w:val="5"/>
              <w:snapToGrid w:val="0"/>
              <w:jc w:val="center"/>
              <w:rPr>
                <w:rFonts w:ascii="Times New Roman" w:hAnsi="Times New Roman" w:cs="Times New Roman"/>
              </w:rPr>
            </w:pPr>
            <w:r>
              <w:rPr>
                <w:rFonts w:hint="eastAsia" w:ascii="Times New Roman" w:hAnsi="Times New Roman" w:cs="Times New Roman"/>
              </w:rPr>
              <w:t>珲春市环境保护局</w:t>
            </w:r>
          </w:p>
        </w:tc>
        <w:tc>
          <w:tcPr>
            <w:tcW w:w="927" w:type="dxa"/>
            <w:vMerge w:val="restart"/>
            <w:vAlign w:val="center"/>
          </w:tcPr>
          <w:p>
            <w:pPr>
              <w:pStyle w:val="5"/>
              <w:snapToGrid w:val="0"/>
              <w:jc w:val="center"/>
              <w:rPr>
                <w:rFonts w:ascii="Times New Roman" w:hAnsi="Times New Roman" w:cs="Times New Roman"/>
              </w:rPr>
            </w:pPr>
            <w:r>
              <w:rPr>
                <w:rFonts w:hint="eastAsia" w:ascii="Times New Roman" w:hAnsi="Times New Roman" w:cs="Times New Roman"/>
              </w:rPr>
              <w:t>2019.10</w:t>
            </w:r>
          </w:p>
        </w:tc>
        <w:tc>
          <w:tcPr>
            <w:tcW w:w="1239" w:type="dxa"/>
            <w:vMerge w:val="restart"/>
            <w:vAlign w:val="center"/>
          </w:tcPr>
          <w:p>
            <w:pPr>
              <w:pStyle w:val="5"/>
              <w:snapToGrid w:val="0"/>
              <w:jc w:val="center"/>
              <w:rPr>
                <w:rFonts w:ascii="Times New Roman" w:hAnsi="Times New Roman" w:cs="Times New Roman"/>
              </w:rPr>
            </w:pPr>
            <w:r>
              <w:rPr>
                <w:rFonts w:hint="eastAsia"/>
              </w:rPr>
              <w:t>尾矿坝、截渗坝、排洪系统、闸坝及滞污塘</w:t>
            </w:r>
          </w:p>
        </w:tc>
        <w:tc>
          <w:tcPr>
            <w:tcW w:w="743" w:type="dxa"/>
            <w:vMerge w:val="restart"/>
            <w:vAlign w:val="center"/>
          </w:tcPr>
          <w:p>
            <w:pPr>
              <w:snapToGrid w:val="0"/>
              <w:spacing w:beforeLines="0" w:afterLines="0" w:line="240" w:lineRule="auto"/>
              <w:ind w:firstLine="0" w:firstLineChars="0"/>
              <w:jc w:val="center"/>
              <w:rPr>
                <w:sz w:val="21"/>
                <w:szCs w:val="21"/>
              </w:rPr>
            </w:pPr>
            <w:r>
              <w:rPr>
                <w:rFonts w:hint="eastAsia"/>
                <w:sz w:val="21"/>
                <w:szCs w:val="21"/>
              </w:rPr>
              <w:t>是</w:t>
            </w:r>
          </w:p>
        </w:tc>
        <w:tc>
          <w:tcPr>
            <w:tcW w:w="850" w:type="dxa"/>
            <w:vMerge w:val="restart"/>
            <w:vAlign w:val="center"/>
          </w:tcPr>
          <w:p>
            <w:pPr>
              <w:snapToGrid w:val="0"/>
              <w:spacing w:beforeLines="0" w:afterLines="0" w:line="240" w:lineRule="auto"/>
              <w:ind w:firstLine="0" w:firstLineChars="0"/>
              <w:jc w:val="center"/>
              <w:rPr>
                <w:sz w:val="21"/>
                <w:szCs w:val="21"/>
              </w:rPr>
            </w:pPr>
            <w:r>
              <w:rPr>
                <w:rFonts w:hint="eastAsia"/>
                <w:sz w:val="21"/>
                <w:szCs w:val="21"/>
              </w:rPr>
              <w:t>是</w:t>
            </w:r>
          </w:p>
        </w:tc>
        <w:tc>
          <w:tcPr>
            <w:tcW w:w="1560" w:type="dxa"/>
            <w:vAlign w:val="center"/>
          </w:tcPr>
          <w:p>
            <w:pPr>
              <w:snapToGrid w:val="0"/>
              <w:spacing w:beforeLines="0" w:afterLines="0" w:line="240" w:lineRule="auto"/>
              <w:ind w:firstLine="0" w:firstLineChars="0"/>
              <w:jc w:val="center"/>
              <w:rPr>
                <w:sz w:val="21"/>
              </w:rPr>
            </w:pPr>
            <w:r>
              <w:rPr>
                <w:rFonts w:hint="eastAsia"/>
                <w:sz w:val="21"/>
              </w:rPr>
              <w:t>尖铁锹、十字镐、编织袋、编织布</w:t>
            </w:r>
          </w:p>
        </w:tc>
        <w:tc>
          <w:tcPr>
            <w:tcW w:w="1381" w:type="dxa"/>
            <w:vAlign w:val="center"/>
          </w:tcPr>
          <w:p>
            <w:pPr>
              <w:snapToGrid w:val="0"/>
              <w:spacing w:beforeLines="0" w:afterLines="0" w:line="240" w:lineRule="auto"/>
              <w:ind w:firstLine="0" w:firstLineChars="0"/>
              <w:jc w:val="center"/>
              <w:rPr>
                <w:sz w:val="21"/>
              </w:rPr>
            </w:pPr>
            <w:r>
              <w:rPr>
                <w:rFonts w:hint="eastAsia"/>
                <w:sz w:val="21"/>
              </w:rPr>
              <w:t>尾矿坝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0" w:hRule="atLeast"/>
          <w:jc w:val="center"/>
        </w:trPr>
        <w:tc>
          <w:tcPr>
            <w:tcW w:w="889" w:type="dxa"/>
            <w:vMerge w:val="continue"/>
            <w:vAlign w:val="center"/>
          </w:tcPr>
          <w:p>
            <w:pPr>
              <w:snapToGrid w:val="0"/>
              <w:spacing w:beforeLines="0" w:afterLines="0" w:line="240" w:lineRule="auto"/>
              <w:ind w:firstLine="0" w:firstLineChars="0"/>
              <w:jc w:val="center"/>
              <w:rPr>
                <w:rFonts w:ascii="宋体" w:hAnsi="宋体"/>
                <w:spacing w:val="20"/>
                <w:sz w:val="21"/>
                <w:szCs w:val="21"/>
              </w:rPr>
            </w:pPr>
          </w:p>
        </w:tc>
        <w:tc>
          <w:tcPr>
            <w:tcW w:w="926" w:type="dxa"/>
            <w:vMerge w:val="continue"/>
            <w:vAlign w:val="center"/>
          </w:tcPr>
          <w:p>
            <w:pPr>
              <w:pStyle w:val="5"/>
              <w:snapToGrid w:val="0"/>
              <w:rPr>
                <w:rFonts w:ascii="Times New Roman" w:hAnsi="Times New Roman" w:cs="Times New Roman"/>
              </w:rPr>
            </w:pPr>
          </w:p>
        </w:tc>
        <w:tc>
          <w:tcPr>
            <w:tcW w:w="771" w:type="dxa"/>
            <w:vMerge w:val="continue"/>
            <w:vAlign w:val="center"/>
          </w:tcPr>
          <w:p>
            <w:pPr>
              <w:pStyle w:val="5"/>
              <w:snapToGrid w:val="0"/>
              <w:jc w:val="center"/>
              <w:rPr>
                <w:rFonts w:ascii="Times New Roman" w:hAnsi="Times New Roman" w:cs="Times New Roman"/>
              </w:rPr>
            </w:pPr>
          </w:p>
        </w:tc>
        <w:tc>
          <w:tcPr>
            <w:tcW w:w="927" w:type="dxa"/>
            <w:vMerge w:val="continue"/>
            <w:vAlign w:val="center"/>
          </w:tcPr>
          <w:p>
            <w:pPr>
              <w:pStyle w:val="5"/>
              <w:snapToGrid w:val="0"/>
              <w:jc w:val="center"/>
              <w:rPr>
                <w:rFonts w:ascii="Times New Roman" w:hAnsi="Times New Roman" w:cs="Times New Roman"/>
              </w:rPr>
            </w:pPr>
          </w:p>
        </w:tc>
        <w:tc>
          <w:tcPr>
            <w:tcW w:w="1239" w:type="dxa"/>
            <w:vMerge w:val="continue"/>
            <w:vAlign w:val="center"/>
          </w:tcPr>
          <w:p>
            <w:pPr>
              <w:pStyle w:val="5"/>
              <w:snapToGrid w:val="0"/>
              <w:jc w:val="center"/>
            </w:pPr>
          </w:p>
        </w:tc>
        <w:tc>
          <w:tcPr>
            <w:tcW w:w="743" w:type="dxa"/>
            <w:vMerge w:val="continue"/>
            <w:vAlign w:val="center"/>
          </w:tcPr>
          <w:p>
            <w:pPr>
              <w:snapToGrid w:val="0"/>
              <w:spacing w:beforeLines="0" w:afterLines="0" w:line="240" w:lineRule="auto"/>
              <w:ind w:firstLine="0" w:firstLineChars="0"/>
              <w:jc w:val="center"/>
              <w:rPr>
                <w:sz w:val="21"/>
                <w:szCs w:val="21"/>
              </w:rPr>
            </w:pPr>
          </w:p>
        </w:tc>
        <w:tc>
          <w:tcPr>
            <w:tcW w:w="850" w:type="dxa"/>
            <w:vMerge w:val="continue"/>
            <w:vAlign w:val="center"/>
          </w:tcPr>
          <w:p>
            <w:pPr>
              <w:snapToGrid w:val="0"/>
              <w:spacing w:beforeLines="0" w:afterLines="0" w:line="240" w:lineRule="auto"/>
              <w:ind w:firstLine="0" w:firstLineChars="0"/>
              <w:jc w:val="center"/>
              <w:rPr>
                <w:sz w:val="21"/>
                <w:szCs w:val="21"/>
              </w:rPr>
            </w:pPr>
          </w:p>
        </w:tc>
        <w:tc>
          <w:tcPr>
            <w:tcW w:w="1560" w:type="dxa"/>
            <w:vAlign w:val="center"/>
          </w:tcPr>
          <w:p>
            <w:pPr>
              <w:snapToGrid w:val="0"/>
              <w:spacing w:beforeLines="0" w:afterLines="0" w:line="240" w:lineRule="auto"/>
              <w:ind w:firstLine="0" w:firstLineChars="0"/>
              <w:jc w:val="center"/>
              <w:rPr>
                <w:sz w:val="21"/>
              </w:rPr>
            </w:pPr>
            <w:r>
              <w:rPr>
                <w:rFonts w:hint="eastAsia"/>
                <w:sz w:val="21"/>
              </w:rPr>
              <w:t>铲车、推土机</w:t>
            </w:r>
          </w:p>
        </w:tc>
        <w:tc>
          <w:tcPr>
            <w:tcW w:w="1381" w:type="dxa"/>
            <w:vAlign w:val="center"/>
          </w:tcPr>
          <w:p>
            <w:pPr>
              <w:snapToGrid w:val="0"/>
              <w:spacing w:beforeLines="0" w:afterLines="0" w:line="240" w:lineRule="auto"/>
              <w:ind w:firstLine="0" w:firstLineChars="0"/>
              <w:jc w:val="center"/>
              <w:rPr>
                <w:sz w:val="21"/>
              </w:rPr>
            </w:pPr>
            <w:r>
              <w:rPr>
                <w:rFonts w:hint="eastAsia"/>
                <w:sz w:val="21"/>
              </w:rPr>
              <w:t>公司停车场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0" w:hRule="atLeast"/>
          <w:jc w:val="center"/>
        </w:trPr>
        <w:tc>
          <w:tcPr>
            <w:tcW w:w="889" w:type="dxa"/>
            <w:vMerge w:val="continue"/>
            <w:vAlign w:val="center"/>
          </w:tcPr>
          <w:p>
            <w:pPr>
              <w:snapToGrid w:val="0"/>
              <w:spacing w:beforeLines="0" w:afterLines="0" w:line="240" w:lineRule="auto"/>
              <w:ind w:firstLine="0" w:firstLineChars="0"/>
              <w:jc w:val="center"/>
              <w:rPr>
                <w:rFonts w:ascii="宋体" w:hAnsi="宋体"/>
                <w:spacing w:val="20"/>
                <w:sz w:val="21"/>
                <w:szCs w:val="21"/>
              </w:rPr>
            </w:pPr>
          </w:p>
        </w:tc>
        <w:tc>
          <w:tcPr>
            <w:tcW w:w="926" w:type="dxa"/>
            <w:vMerge w:val="continue"/>
            <w:vAlign w:val="center"/>
          </w:tcPr>
          <w:p>
            <w:pPr>
              <w:pStyle w:val="5"/>
              <w:snapToGrid w:val="0"/>
              <w:rPr>
                <w:rFonts w:ascii="Times New Roman" w:hAnsi="Times New Roman" w:cs="Times New Roman"/>
              </w:rPr>
            </w:pPr>
          </w:p>
        </w:tc>
        <w:tc>
          <w:tcPr>
            <w:tcW w:w="771" w:type="dxa"/>
            <w:vMerge w:val="continue"/>
            <w:vAlign w:val="center"/>
          </w:tcPr>
          <w:p>
            <w:pPr>
              <w:pStyle w:val="5"/>
              <w:snapToGrid w:val="0"/>
              <w:jc w:val="center"/>
              <w:rPr>
                <w:rFonts w:ascii="Times New Roman" w:hAnsi="Times New Roman" w:cs="Times New Roman"/>
              </w:rPr>
            </w:pPr>
          </w:p>
        </w:tc>
        <w:tc>
          <w:tcPr>
            <w:tcW w:w="927" w:type="dxa"/>
            <w:vMerge w:val="continue"/>
            <w:vAlign w:val="center"/>
          </w:tcPr>
          <w:p>
            <w:pPr>
              <w:pStyle w:val="5"/>
              <w:snapToGrid w:val="0"/>
              <w:jc w:val="center"/>
              <w:rPr>
                <w:rFonts w:ascii="Times New Roman" w:hAnsi="Times New Roman" w:cs="Times New Roman"/>
              </w:rPr>
            </w:pPr>
          </w:p>
        </w:tc>
        <w:tc>
          <w:tcPr>
            <w:tcW w:w="1239" w:type="dxa"/>
            <w:vMerge w:val="continue"/>
            <w:vAlign w:val="center"/>
          </w:tcPr>
          <w:p>
            <w:pPr>
              <w:pStyle w:val="5"/>
              <w:snapToGrid w:val="0"/>
              <w:jc w:val="center"/>
            </w:pPr>
          </w:p>
        </w:tc>
        <w:tc>
          <w:tcPr>
            <w:tcW w:w="743" w:type="dxa"/>
            <w:vMerge w:val="continue"/>
            <w:vAlign w:val="center"/>
          </w:tcPr>
          <w:p>
            <w:pPr>
              <w:snapToGrid w:val="0"/>
              <w:spacing w:beforeLines="0" w:afterLines="0" w:line="240" w:lineRule="auto"/>
              <w:ind w:firstLine="0" w:firstLineChars="0"/>
              <w:jc w:val="center"/>
              <w:rPr>
                <w:sz w:val="21"/>
                <w:szCs w:val="21"/>
              </w:rPr>
            </w:pPr>
          </w:p>
        </w:tc>
        <w:tc>
          <w:tcPr>
            <w:tcW w:w="850" w:type="dxa"/>
            <w:vMerge w:val="continue"/>
            <w:vAlign w:val="center"/>
          </w:tcPr>
          <w:p>
            <w:pPr>
              <w:snapToGrid w:val="0"/>
              <w:spacing w:beforeLines="0" w:afterLines="0" w:line="240" w:lineRule="auto"/>
              <w:ind w:firstLine="0" w:firstLineChars="0"/>
              <w:jc w:val="center"/>
              <w:rPr>
                <w:sz w:val="21"/>
                <w:szCs w:val="21"/>
              </w:rPr>
            </w:pPr>
          </w:p>
        </w:tc>
        <w:tc>
          <w:tcPr>
            <w:tcW w:w="1560" w:type="dxa"/>
            <w:vAlign w:val="center"/>
          </w:tcPr>
          <w:p>
            <w:pPr>
              <w:snapToGrid w:val="0"/>
              <w:spacing w:beforeLines="0" w:afterLines="0" w:line="240" w:lineRule="auto"/>
              <w:ind w:firstLine="0" w:firstLineChars="0"/>
              <w:jc w:val="center"/>
              <w:rPr>
                <w:sz w:val="21"/>
              </w:rPr>
            </w:pPr>
            <w:r>
              <w:rPr>
                <w:rFonts w:hint="eastAsia"/>
                <w:sz w:val="21"/>
              </w:rPr>
              <w:t>自救器</w:t>
            </w:r>
          </w:p>
        </w:tc>
        <w:tc>
          <w:tcPr>
            <w:tcW w:w="1381" w:type="dxa"/>
            <w:vAlign w:val="center"/>
          </w:tcPr>
          <w:p>
            <w:pPr>
              <w:snapToGrid w:val="0"/>
              <w:spacing w:beforeLines="0" w:afterLines="0" w:line="240" w:lineRule="auto"/>
              <w:ind w:firstLine="0" w:firstLineChars="0"/>
              <w:jc w:val="center"/>
              <w:rPr>
                <w:sz w:val="21"/>
              </w:rPr>
            </w:pPr>
            <w:r>
              <w:rPr>
                <w:rFonts w:hint="eastAsia"/>
                <w:sz w:val="21"/>
              </w:rPr>
              <w:t>安环部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0" w:hRule="atLeast"/>
          <w:jc w:val="center"/>
        </w:trPr>
        <w:tc>
          <w:tcPr>
            <w:tcW w:w="889" w:type="dxa"/>
            <w:vMerge w:val="continue"/>
            <w:vAlign w:val="center"/>
          </w:tcPr>
          <w:p>
            <w:pPr>
              <w:snapToGrid w:val="0"/>
              <w:spacing w:beforeLines="0" w:afterLines="0" w:line="240" w:lineRule="auto"/>
              <w:ind w:firstLine="0" w:firstLineChars="0"/>
              <w:jc w:val="center"/>
              <w:rPr>
                <w:rFonts w:ascii="宋体" w:hAnsi="宋体"/>
                <w:spacing w:val="20"/>
                <w:sz w:val="21"/>
                <w:szCs w:val="21"/>
              </w:rPr>
            </w:pPr>
          </w:p>
        </w:tc>
        <w:tc>
          <w:tcPr>
            <w:tcW w:w="926" w:type="dxa"/>
            <w:vMerge w:val="continue"/>
            <w:vAlign w:val="center"/>
          </w:tcPr>
          <w:p>
            <w:pPr>
              <w:pStyle w:val="5"/>
              <w:snapToGrid w:val="0"/>
              <w:rPr>
                <w:rFonts w:ascii="Times New Roman" w:hAnsi="Times New Roman" w:cs="Times New Roman"/>
              </w:rPr>
            </w:pPr>
          </w:p>
        </w:tc>
        <w:tc>
          <w:tcPr>
            <w:tcW w:w="771" w:type="dxa"/>
            <w:vMerge w:val="continue"/>
            <w:vAlign w:val="center"/>
          </w:tcPr>
          <w:p>
            <w:pPr>
              <w:pStyle w:val="5"/>
              <w:snapToGrid w:val="0"/>
              <w:jc w:val="center"/>
              <w:rPr>
                <w:rFonts w:ascii="Times New Roman" w:hAnsi="Times New Roman" w:cs="Times New Roman"/>
              </w:rPr>
            </w:pPr>
          </w:p>
        </w:tc>
        <w:tc>
          <w:tcPr>
            <w:tcW w:w="927" w:type="dxa"/>
            <w:vMerge w:val="continue"/>
            <w:vAlign w:val="center"/>
          </w:tcPr>
          <w:p>
            <w:pPr>
              <w:pStyle w:val="5"/>
              <w:snapToGrid w:val="0"/>
              <w:jc w:val="center"/>
              <w:rPr>
                <w:rFonts w:ascii="Times New Roman" w:hAnsi="Times New Roman" w:cs="Times New Roman"/>
              </w:rPr>
            </w:pPr>
          </w:p>
        </w:tc>
        <w:tc>
          <w:tcPr>
            <w:tcW w:w="1239" w:type="dxa"/>
            <w:vMerge w:val="continue"/>
            <w:vAlign w:val="center"/>
          </w:tcPr>
          <w:p>
            <w:pPr>
              <w:pStyle w:val="5"/>
              <w:snapToGrid w:val="0"/>
              <w:jc w:val="center"/>
            </w:pPr>
          </w:p>
        </w:tc>
        <w:tc>
          <w:tcPr>
            <w:tcW w:w="743" w:type="dxa"/>
            <w:vMerge w:val="continue"/>
            <w:vAlign w:val="center"/>
          </w:tcPr>
          <w:p>
            <w:pPr>
              <w:snapToGrid w:val="0"/>
              <w:spacing w:beforeLines="0" w:afterLines="0" w:line="240" w:lineRule="auto"/>
              <w:ind w:firstLine="0" w:firstLineChars="0"/>
              <w:jc w:val="center"/>
              <w:rPr>
                <w:sz w:val="21"/>
                <w:szCs w:val="21"/>
              </w:rPr>
            </w:pPr>
          </w:p>
        </w:tc>
        <w:tc>
          <w:tcPr>
            <w:tcW w:w="850" w:type="dxa"/>
            <w:vMerge w:val="continue"/>
            <w:vAlign w:val="center"/>
          </w:tcPr>
          <w:p>
            <w:pPr>
              <w:snapToGrid w:val="0"/>
              <w:spacing w:beforeLines="0" w:afterLines="0" w:line="240" w:lineRule="auto"/>
              <w:ind w:firstLine="0" w:firstLineChars="0"/>
              <w:jc w:val="center"/>
              <w:rPr>
                <w:sz w:val="21"/>
                <w:szCs w:val="21"/>
              </w:rPr>
            </w:pPr>
          </w:p>
        </w:tc>
        <w:tc>
          <w:tcPr>
            <w:tcW w:w="1560" w:type="dxa"/>
            <w:vAlign w:val="center"/>
          </w:tcPr>
          <w:p>
            <w:pPr>
              <w:snapToGrid w:val="0"/>
              <w:spacing w:beforeLines="0" w:afterLines="0" w:line="240" w:lineRule="auto"/>
              <w:ind w:firstLine="0" w:firstLineChars="0"/>
              <w:jc w:val="center"/>
              <w:rPr>
                <w:sz w:val="21"/>
              </w:rPr>
            </w:pPr>
            <w:r>
              <w:rPr>
                <w:rFonts w:hint="eastAsia"/>
                <w:sz w:val="21"/>
              </w:rPr>
              <w:t>防毒面罩及呼吸管</w:t>
            </w:r>
          </w:p>
        </w:tc>
        <w:tc>
          <w:tcPr>
            <w:tcW w:w="1381" w:type="dxa"/>
            <w:vAlign w:val="center"/>
          </w:tcPr>
          <w:p>
            <w:pPr>
              <w:snapToGrid w:val="0"/>
              <w:spacing w:beforeLines="0" w:afterLines="0" w:line="240" w:lineRule="auto"/>
              <w:ind w:firstLine="0" w:firstLineChars="0"/>
              <w:jc w:val="center"/>
              <w:rPr>
                <w:sz w:val="21"/>
              </w:rPr>
            </w:pPr>
            <w:r>
              <w:rPr>
                <w:rFonts w:hint="eastAsia"/>
                <w:sz w:val="21"/>
              </w:rPr>
              <w:t>物资仓库</w:t>
            </w:r>
          </w:p>
        </w:tc>
      </w:tr>
    </w:tbl>
    <w:p>
      <w:pPr>
        <w:pStyle w:val="3"/>
        <w:rPr>
          <w:color w:val="auto"/>
        </w:rPr>
      </w:pPr>
      <w:bookmarkStart w:id="58" w:name="_Toc66281449"/>
      <w:r>
        <w:rPr>
          <w:rFonts w:hint="eastAsia"/>
          <w:color w:val="auto"/>
        </w:rPr>
        <w:t xml:space="preserve">5.2 </w:t>
      </w:r>
      <w:r>
        <w:rPr>
          <w:color w:val="auto"/>
        </w:rPr>
        <w:t>突发环境事件</w:t>
      </w:r>
      <w:r>
        <w:rPr>
          <w:rFonts w:hint="eastAsia"/>
          <w:color w:val="auto"/>
        </w:rPr>
        <w:t>发生情况</w:t>
      </w:r>
      <w:bookmarkEnd w:id="58"/>
    </w:p>
    <w:p>
      <w:pPr>
        <w:spacing w:before="114" w:beforeLines="30" w:after="114" w:afterLines="30"/>
        <w:ind w:firstLine="480"/>
        <w:rPr>
          <w:rFonts w:eastAsia="仿宋_GB2312"/>
          <w:sz w:val="24"/>
        </w:rPr>
        <w:sectPr>
          <w:pgSz w:w="11906" w:h="16838"/>
          <w:pgMar w:top="1418" w:right="1418" w:bottom="1418" w:left="1418" w:header="851" w:footer="992" w:gutter="0"/>
          <w:cols w:space="720" w:num="1"/>
          <w:docGrid w:type="lines" w:linePitch="381" w:charSpace="0"/>
        </w:sectPr>
      </w:pPr>
      <w:r>
        <w:rPr>
          <w:rFonts w:hint="eastAsia" w:eastAsia="仿宋_GB2312"/>
          <w:sz w:val="24"/>
        </w:rPr>
        <w:t>2020年，曙光金铜矿未发生过突发环境事件。</w:t>
      </w:r>
    </w:p>
    <w:p>
      <w:pPr>
        <w:pStyle w:val="10"/>
        <w:spacing w:beforeLines="0" w:line="240" w:lineRule="auto"/>
      </w:pPr>
      <w:r>
        <w:t>表</w:t>
      </w:r>
      <w:r>
        <w:rPr>
          <w:rFonts w:hint="eastAsia"/>
        </w:rPr>
        <w:t>5-2  突发环境事件应急预案演练情况</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1268"/>
        <w:gridCol w:w="3208"/>
        <w:gridCol w:w="1300"/>
        <w:gridCol w:w="1157"/>
        <w:gridCol w:w="1843"/>
        <w:gridCol w:w="2835"/>
        <w:gridCol w:w="19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42"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序号</w:t>
            </w:r>
          </w:p>
        </w:tc>
        <w:tc>
          <w:tcPr>
            <w:tcW w:w="446"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演练名称</w:t>
            </w:r>
          </w:p>
        </w:tc>
        <w:tc>
          <w:tcPr>
            <w:tcW w:w="1128"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演练内容</w:t>
            </w:r>
          </w:p>
        </w:tc>
        <w:tc>
          <w:tcPr>
            <w:tcW w:w="457"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演练</w:t>
            </w:r>
          </w:p>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时间</w:t>
            </w:r>
          </w:p>
        </w:tc>
        <w:tc>
          <w:tcPr>
            <w:tcW w:w="407"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地点</w:t>
            </w:r>
          </w:p>
        </w:tc>
        <w:tc>
          <w:tcPr>
            <w:tcW w:w="648"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演练效果</w:t>
            </w:r>
          </w:p>
        </w:tc>
        <w:tc>
          <w:tcPr>
            <w:tcW w:w="997"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存在问题</w:t>
            </w:r>
          </w:p>
        </w:tc>
        <w:tc>
          <w:tcPr>
            <w:tcW w:w="675"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eastAsiaTheme="minorEastAsia"/>
                <w:b/>
                <w:sz w:val="21"/>
                <w:szCs w:val="21"/>
              </w:rPr>
              <w:t>改进措施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42"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hint="eastAsia" w:eastAsiaTheme="minorEastAsia"/>
                <w:b/>
                <w:sz w:val="21"/>
                <w:szCs w:val="21"/>
              </w:rPr>
              <w:t>1</w:t>
            </w:r>
          </w:p>
        </w:tc>
        <w:tc>
          <w:tcPr>
            <w:tcW w:w="446" w:type="pct"/>
            <w:vAlign w:val="center"/>
          </w:tcPr>
          <w:p>
            <w:pPr>
              <w:pStyle w:val="5"/>
              <w:adjustRightInd w:val="0"/>
              <w:snapToGrid w:val="0"/>
              <w:jc w:val="center"/>
              <w:rPr>
                <w:rFonts w:ascii="Times New Roman" w:hAnsi="Times New Roman" w:cs="Times New Roman" w:eastAsiaTheme="minorEastAsia"/>
              </w:rPr>
            </w:pPr>
            <w:r>
              <w:rPr>
                <w:rFonts w:hint="eastAsia" w:ascii="Times New Roman" w:hAnsi="Times New Roman" w:cs="Times New Roman" w:eastAsiaTheme="minorEastAsia"/>
              </w:rPr>
              <w:t>废液储箱泄漏现场处置应急演练</w:t>
            </w:r>
          </w:p>
        </w:tc>
        <w:tc>
          <w:tcPr>
            <w:tcW w:w="1128" w:type="pct"/>
            <w:vAlign w:val="center"/>
          </w:tcPr>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模拟化验室废液收集箱发生泄漏，当班人员发出警报，立即启动突发环境事件应急预案，开展现场应急处置，对废液进行围堵、收容，防止酸烟进入引起人员中毒事故；事故处理完毕后，确认无二次事故发生，进行现场恢复。</w:t>
            </w:r>
          </w:p>
        </w:tc>
        <w:tc>
          <w:tcPr>
            <w:tcW w:w="457" w:type="pct"/>
            <w:vAlign w:val="center"/>
          </w:tcPr>
          <w:p>
            <w:pPr>
              <w:pStyle w:val="5"/>
              <w:adjustRightInd w:val="0"/>
              <w:snapToGrid w:val="0"/>
              <w:jc w:val="center"/>
              <w:rPr>
                <w:rFonts w:ascii="Times New Roman" w:hAnsi="Times New Roman" w:cs="Times New Roman" w:eastAsiaTheme="minorEastAsia"/>
              </w:rPr>
            </w:pPr>
            <w:r>
              <w:rPr>
                <w:rFonts w:ascii="Times New Roman" w:hAnsi="Times New Roman" w:cs="Times New Roman" w:eastAsiaTheme="minorEastAsia"/>
              </w:rPr>
              <w:t>20</w:t>
            </w:r>
            <w:r>
              <w:rPr>
                <w:rFonts w:hint="eastAsia" w:ascii="Times New Roman" w:hAnsi="Times New Roman" w:cs="Times New Roman" w:eastAsiaTheme="minorEastAsia"/>
              </w:rPr>
              <w:t>20</w:t>
            </w:r>
            <w:r>
              <w:rPr>
                <w:rFonts w:ascii="Times New Roman" w:hAnsi="Times New Roman" w:cs="Times New Roman" w:eastAsiaTheme="minorEastAsia"/>
              </w:rPr>
              <w:t>年</w:t>
            </w:r>
            <w:r>
              <w:rPr>
                <w:rFonts w:hint="eastAsia" w:ascii="Times New Roman" w:hAnsi="Times New Roman" w:cs="Times New Roman" w:eastAsiaTheme="minorEastAsia"/>
              </w:rPr>
              <w:t>6</w:t>
            </w:r>
            <w:r>
              <w:rPr>
                <w:rFonts w:ascii="Times New Roman" w:hAnsi="Times New Roman" w:cs="Times New Roman" w:eastAsiaTheme="minorEastAsia"/>
              </w:rPr>
              <w:t>月</w:t>
            </w:r>
            <w:r>
              <w:rPr>
                <w:rFonts w:hint="eastAsia" w:ascii="Times New Roman" w:hAnsi="Times New Roman" w:cs="Times New Roman" w:eastAsiaTheme="minorEastAsia"/>
              </w:rPr>
              <w:t>10</w:t>
            </w:r>
            <w:r>
              <w:rPr>
                <w:rFonts w:ascii="Times New Roman" w:hAnsi="Times New Roman" w:cs="Times New Roman" w:eastAsiaTheme="minorEastAsia"/>
              </w:rPr>
              <w:t>日</w:t>
            </w:r>
          </w:p>
        </w:tc>
        <w:tc>
          <w:tcPr>
            <w:tcW w:w="407" w:type="pct"/>
            <w:vAlign w:val="center"/>
          </w:tcPr>
          <w:p>
            <w:pPr>
              <w:pStyle w:val="5"/>
              <w:adjustRightInd w:val="0"/>
              <w:snapToGrid w:val="0"/>
              <w:jc w:val="center"/>
              <w:rPr>
                <w:rFonts w:ascii="Times New Roman" w:hAnsi="Times New Roman" w:cs="Times New Roman" w:eastAsiaTheme="minorEastAsia"/>
              </w:rPr>
            </w:pPr>
            <w:r>
              <w:rPr>
                <w:rFonts w:hint="eastAsia" w:ascii="Times New Roman" w:hAnsi="Times New Roman" w:cs="Times New Roman" w:eastAsiaTheme="minorEastAsia"/>
              </w:rPr>
              <w:t>化验室</w:t>
            </w:r>
          </w:p>
        </w:tc>
        <w:tc>
          <w:tcPr>
            <w:tcW w:w="648" w:type="pct"/>
            <w:vAlign w:val="center"/>
          </w:tcPr>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本次演练完全符合单位安全生产和应急救援需要、责任明确、分工合理、达到了预期目标。</w:t>
            </w:r>
          </w:p>
        </w:tc>
        <w:tc>
          <w:tcPr>
            <w:tcW w:w="997" w:type="pct"/>
            <w:vAlign w:val="center"/>
          </w:tcPr>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1.现场人员配合程度有待提升；</w:t>
            </w:r>
          </w:p>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2.指挥人员与应急人眼站在室外安全地带交流；</w:t>
            </w:r>
          </w:p>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3.警戒应做到所有入口；</w:t>
            </w:r>
          </w:p>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4.应急时应确认危险等级；</w:t>
            </w:r>
          </w:p>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5.明确应急完毕标准；</w:t>
            </w:r>
          </w:p>
          <w:p>
            <w:pPr>
              <w:adjustRightInd w:val="0"/>
              <w:snapToGrid w:val="0"/>
              <w:spacing w:beforeLines="0" w:afterLines="0" w:line="240" w:lineRule="auto"/>
              <w:ind w:firstLine="0" w:firstLineChars="0"/>
              <w:rPr>
                <w:rFonts w:eastAsiaTheme="minorEastAsia"/>
                <w:sz w:val="21"/>
                <w:szCs w:val="21"/>
              </w:rPr>
            </w:pPr>
            <w:r>
              <w:rPr>
                <w:rFonts w:hint="eastAsia" w:eastAsiaTheme="minorEastAsia"/>
                <w:sz w:val="21"/>
                <w:szCs w:val="21"/>
              </w:rPr>
              <w:t>6.安全检查待应急完毕后即系进行；</w:t>
            </w:r>
          </w:p>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7.工具不能够满足现场需要</w:t>
            </w:r>
            <w:r>
              <w:rPr>
                <w:rFonts w:hint="eastAsia" w:hAnsi="宋体"/>
                <w:sz w:val="28"/>
                <w:szCs w:val="28"/>
              </w:rPr>
              <w:t>。</w:t>
            </w:r>
          </w:p>
        </w:tc>
        <w:tc>
          <w:tcPr>
            <w:tcW w:w="675" w:type="pct"/>
            <w:vAlign w:val="center"/>
          </w:tcPr>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继续强调应急演练、现场处置的重要性，并约束员工在演练过程中的不严肃行为。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42" w:type="pct"/>
            <w:vAlign w:val="center"/>
          </w:tcPr>
          <w:p>
            <w:pPr>
              <w:adjustRightInd w:val="0"/>
              <w:snapToGrid w:val="0"/>
              <w:spacing w:beforeLines="0" w:afterLines="0" w:line="240" w:lineRule="auto"/>
              <w:ind w:firstLine="0" w:firstLineChars="0"/>
              <w:jc w:val="center"/>
              <w:rPr>
                <w:rFonts w:eastAsiaTheme="minorEastAsia"/>
                <w:b/>
                <w:sz w:val="21"/>
                <w:szCs w:val="21"/>
              </w:rPr>
            </w:pPr>
            <w:r>
              <w:rPr>
                <w:rFonts w:hint="eastAsia" w:eastAsiaTheme="minorEastAsia"/>
                <w:b/>
                <w:sz w:val="21"/>
                <w:szCs w:val="21"/>
              </w:rPr>
              <w:t>2</w:t>
            </w:r>
          </w:p>
        </w:tc>
        <w:tc>
          <w:tcPr>
            <w:tcW w:w="446" w:type="pct"/>
            <w:vAlign w:val="center"/>
          </w:tcPr>
          <w:p>
            <w:pPr>
              <w:pStyle w:val="5"/>
              <w:adjustRightInd w:val="0"/>
              <w:snapToGrid w:val="0"/>
              <w:jc w:val="center"/>
              <w:rPr>
                <w:rFonts w:ascii="Times New Roman" w:hAnsi="Times New Roman" w:cs="Times New Roman" w:eastAsiaTheme="minorEastAsia"/>
              </w:rPr>
            </w:pPr>
            <w:r>
              <w:rPr>
                <w:rFonts w:hint="eastAsia" w:ascii="Times New Roman" w:hAnsi="Times New Roman" w:cs="Times New Roman" w:eastAsiaTheme="minorEastAsia"/>
              </w:rPr>
              <w:t>尾矿库事故应急演练</w:t>
            </w:r>
          </w:p>
        </w:tc>
        <w:tc>
          <w:tcPr>
            <w:tcW w:w="1128" w:type="pct"/>
            <w:vAlign w:val="center"/>
          </w:tcPr>
          <w:p>
            <w:pPr>
              <w:pStyle w:val="5"/>
              <w:adjustRightInd w:val="0"/>
              <w:snapToGrid w:val="0"/>
              <w:rPr>
                <w:rFonts w:ascii="Times New Roman" w:hAnsi="Times New Roman" w:cs="Times New Roman" w:eastAsiaTheme="minorEastAsia"/>
              </w:rPr>
            </w:pPr>
            <w:r>
              <w:rPr>
                <w:rFonts w:ascii="Times New Roman" w:hAnsi="Times New Roman" w:cs="Times New Roman" w:eastAsiaTheme="minorEastAsia"/>
              </w:rPr>
              <w:t>本次演练</w:t>
            </w:r>
            <w:r>
              <w:rPr>
                <w:rFonts w:hint="eastAsia"/>
              </w:rPr>
              <w:t>模拟突降暴雨，由于三期尾矿库一级子坝尚未形成排水沟，大量雨水冲刷子坝，如未及时采取有效措施，存在溃坝、垮坝危险，</w:t>
            </w:r>
            <w:r>
              <w:rPr>
                <w:rFonts w:hint="eastAsia" w:hAnsi="宋体" w:cs="宋体"/>
              </w:rPr>
              <w:t>可能造成严重安全、环境污染和影响局部区域稳定的事件发生。</w:t>
            </w:r>
            <w:r>
              <w:rPr>
                <w:rFonts w:ascii="Times New Roman" w:hAnsi="Times New Roman" w:cs="Times New Roman" w:eastAsiaTheme="minorEastAsia"/>
              </w:rPr>
              <w:t>演练内容包括：</w:t>
            </w:r>
            <w:r>
              <w:rPr>
                <w:rFonts w:hint="eastAsia" w:ascii="Times New Roman" w:hAnsi="Times New Roman" w:cs="Times New Roman" w:eastAsiaTheme="minorEastAsia"/>
              </w:rPr>
              <w:t>预警与上报</w:t>
            </w:r>
            <w:r>
              <w:rPr>
                <w:rFonts w:ascii="Times New Roman" w:hAnsi="Times New Roman" w:cs="Times New Roman" w:eastAsiaTheme="minorEastAsia"/>
              </w:rPr>
              <w:t>、成立现场应急小组</w:t>
            </w:r>
            <w:r>
              <w:rPr>
                <w:rFonts w:hint="eastAsia" w:ascii="Times New Roman" w:hAnsi="Times New Roman" w:cs="Times New Roman" w:eastAsiaTheme="minorEastAsia"/>
              </w:rPr>
              <w:t>、制定救援方案</w:t>
            </w:r>
            <w:r>
              <w:rPr>
                <w:rFonts w:ascii="Times New Roman" w:hAnsi="Times New Roman" w:cs="Times New Roman" w:eastAsiaTheme="minorEastAsia"/>
              </w:rPr>
              <w:t>以及现场应急处置</w:t>
            </w:r>
            <w:r>
              <w:rPr>
                <w:rFonts w:hint="eastAsia" w:ascii="Times New Roman" w:hAnsi="Times New Roman" w:cs="Times New Roman" w:eastAsiaTheme="minorEastAsia"/>
              </w:rPr>
              <w:t>等</w:t>
            </w:r>
            <w:r>
              <w:rPr>
                <w:rFonts w:ascii="Times New Roman" w:hAnsi="Times New Roman" w:cs="Times New Roman" w:eastAsiaTheme="minorEastAsia"/>
              </w:rPr>
              <w:t>。</w:t>
            </w:r>
          </w:p>
        </w:tc>
        <w:tc>
          <w:tcPr>
            <w:tcW w:w="457" w:type="pct"/>
            <w:vAlign w:val="center"/>
          </w:tcPr>
          <w:p>
            <w:pPr>
              <w:pStyle w:val="5"/>
              <w:adjustRightInd w:val="0"/>
              <w:snapToGrid w:val="0"/>
              <w:rPr>
                <w:rFonts w:ascii="Times New Roman" w:hAnsi="Times New Roman" w:cs="Times New Roman" w:eastAsiaTheme="minorEastAsia"/>
              </w:rPr>
            </w:pPr>
            <w:r>
              <w:rPr>
                <w:rFonts w:ascii="Times New Roman" w:hAnsi="Times New Roman" w:cs="Times New Roman" w:eastAsiaTheme="minorEastAsia"/>
              </w:rPr>
              <w:t>20</w:t>
            </w:r>
            <w:r>
              <w:rPr>
                <w:rFonts w:hint="eastAsia" w:ascii="Times New Roman" w:hAnsi="Times New Roman" w:cs="Times New Roman" w:eastAsiaTheme="minorEastAsia"/>
              </w:rPr>
              <w:t>20</w:t>
            </w:r>
            <w:r>
              <w:rPr>
                <w:rFonts w:ascii="Times New Roman" w:hAnsi="Times New Roman" w:cs="Times New Roman" w:eastAsiaTheme="minorEastAsia"/>
              </w:rPr>
              <w:t>年6月</w:t>
            </w:r>
            <w:r>
              <w:rPr>
                <w:rFonts w:hint="eastAsia" w:ascii="Times New Roman" w:hAnsi="Times New Roman" w:cs="Times New Roman" w:eastAsiaTheme="minorEastAsia"/>
              </w:rPr>
              <w:t>28</w:t>
            </w:r>
            <w:r>
              <w:rPr>
                <w:rFonts w:ascii="Times New Roman" w:hAnsi="Times New Roman" w:cs="Times New Roman" w:eastAsiaTheme="minorEastAsia"/>
              </w:rPr>
              <w:t>日</w:t>
            </w:r>
          </w:p>
        </w:tc>
        <w:tc>
          <w:tcPr>
            <w:tcW w:w="407" w:type="pct"/>
            <w:vAlign w:val="center"/>
          </w:tcPr>
          <w:p>
            <w:pPr>
              <w:pStyle w:val="5"/>
              <w:adjustRightInd w:val="0"/>
              <w:snapToGrid w:val="0"/>
              <w:rPr>
                <w:rFonts w:ascii="Times New Roman" w:hAnsi="Times New Roman" w:cs="Times New Roman" w:eastAsiaTheme="minorEastAsia"/>
              </w:rPr>
            </w:pPr>
            <w:r>
              <w:rPr>
                <w:rFonts w:hint="eastAsia"/>
              </w:rPr>
              <w:t>三期尾矿库1级子坝</w:t>
            </w:r>
          </w:p>
        </w:tc>
        <w:tc>
          <w:tcPr>
            <w:tcW w:w="648" w:type="pct"/>
            <w:vAlign w:val="center"/>
          </w:tcPr>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本次演练基本符合单位安全生产和应急救援需要、责任明确、达到了预期目标。</w:t>
            </w:r>
          </w:p>
        </w:tc>
        <w:tc>
          <w:tcPr>
            <w:tcW w:w="997" w:type="pct"/>
            <w:vAlign w:val="center"/>
          </w:tcPr>
          <w:p>
            <w:pPr>
              <w:pStyle w:val="5"/>
              <w:adjustRightInd w:val="0"/>
              <w:snapToGrid w:val="0"/>
              <w:rPr>
                <w:rFonts w:ascii="Times New Roman" w:hAnsi="Times New Roman" w:cs="Times New Roman" w:eastAsiaTheme="minorEastAsia"/>
              </w:rPr>
            </w:pPr>
            <w:r>
              <w:rPr>
                <w:rFonts w:hint="eastAsia" w:ascii="Times New Roman" w:hAnsi="Times New Roman" w:cs="Times New Roman" w:eastAsiaTheme="minorEastAsia"/>
              </w:rPr>
              <w:t>无</w:t>
            </w:r>
          </w:p>
        </w:tc>
        <w:tc>
          <w:tcPr>
            <w:tcW w:w="675" w:type="pct"/>
            <w:vAlign w:val="center"/>
          </w:tcPr>
          <w:p>
            <w:pPr>
              <w:pStyle w:val="5"/>
              <w:adjustRightInd w:val="0"/>
              <w:snapToGrid w:val="0"/>
              <w:rPr>
                <w:rFonts w:ascii="Times New Roman" w:hAnsi="Times New Roman" w:cs="Times New Roman" w:eastAsiaTheme="minorEastAsia"/>
              </w:rPr>
            </w:pPr>
            <w:r>
              <w:rPr>
                <w:rFonts w:hint="eastAsia" w:hAnsi="宋体"/>
              </w:rPr>
              <w:t>加强教育培训，严肃纪律秩序，提高全员参与意识。在今后的工作中，要将应急预案在员工中反反复复的组织学习，要让事故处置的方法和措施在每个员工的心中扎根。</w:t>
            </w:r>
          </w:p>
        </w:tc>
      </w:tr>
    </w:tbl>
    <w:p>
      <w:pPr>
        <w:spacing w:before="114" w:beforeLines="30" w:after="114" w:afterLines="30"/>
        <w:ind w:firstLine="480"/>
        <w:rPr>
          <w:rFonts w:eastAsia="仿宋_GB2312"/>
          <w:sz w:val="24"/>
        </w:rPr>
        <w:sectPr>
          <w:pgSz w:w="16838" w:h="11906" w:orient="landscape"/>
          <w:pgMar w:top="1418" w:right="1418" w:bottom="1418" w:left="1418" w:header="851" w:footer="992" w:gutter="0"/>
          <w:cols w:space="720" w:num="1"/>
          <w:docGrid w:type="lines" w:linePitch="381" w:charSpace="0"/>
        </w:sectPr>
      </w:pPr>
    </w:p>
    <w:p>
      <w:pPr>
        <w:widowControl/>
        <w:spacing w:before="152" w:afterLines="0" w:line="240" w:lineRule="auto"/>
        <w:ind w:firstLine="0" w:firstLineChars="0"/>
        <w:jc w:val="center"/>
        <w:rPr>
          <w:rFonts w:hAnsi="黑体" w:eastAsia="黑体"/>
          <w:sz w:val="21"/>
          <w:szCs w:val="21"/>
        </w:rPr>
      </w:pPr>
      <w:r>
        <w:t xml:space="preserve">                </w:t>
      </w:r>
    </w:p>
    <w:tbl>
      <w:tblPr>
        <w:tblStyle w:val="11"/>
        <w:tblW w:w="0" w:type="auto"/>
        <w:jc w:val="center"/>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rPr>
          <w:trHeight w:val="3061" w:hRule="atLeast"/>
          <w:jc w:val="center"/>
        </w:trPr>
        <w:tc>
          <w:tcPr>
            <w:tcW w:w="4264" w:type="dxa"/>
            <w:vAlign w:val="center"/>
          </w:tcPr>
          <w:p>
            <w:pPr>
              <w:spacing w:beforeLines="0" w:afterLines="0"/>
              <w:ind w:firstLine="0" w:firstLineChars="0"/>
              <w:jc w:val="center"/>
              <w:rPr>
                <w:rFonts w:ascii="黑体" w:hAnsi="黑体" w:eastAsia="黑体"/>
                <w:sz w:val="24"/>
              </w:rPr>
            </w:pPr>
            <w:r>
              <w:rPr>
                <w:rFonts w:ascii="黑体" w:hAnsi="黑体" w:eastAsia="黑体"/>
                <w:sz w:val="24"/>
              </w:rPr>
              <w:drawing>
                <wp:inline distT="0" distB="0" distL="0" distR="0">
                  <wp:extent cx="2398395" cy="1799590"/>
                  <wp:effectExtent l="0" t="0" r="1905" b="0"/>
                  <wp:docPr id="6" name="图片 6" descr="F:\zf\2021年\1 紫金年度报告\珲春紫金曙光金铜矿\2021信息填报与收资清单-珲春紫金\应急演练管理202103081031323132\5.开始处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zf\2021年\1 紫金年度报告\珲春紫金曙光金铜矿\2021信息填报与收资清单-珲春紫金\应急演练管理202103081031323132\5.开始处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98815" cy="1800000"/>
                          </a:xfrm>
                          <a:prstGeom prst="rect">
                            <a:avLst/>
                          </a:prstGeom>
                          <a:noFill/>
                          <a:ln>
                            <a:noFill/>
                          </a:ln>
                        </pic:spPr>
                      </pic:pic>
                    </a:graphicData>
                  </a:graphic>
                </wp:inline>
              </w:drawing>
            </w:r>
          </w:p>
        </w:tc>
        <w:tc>
          <w:tcPr>
            <w:tcW w:w="4264" w:type="dxa"/>
            <w:vAlign w:val="center"/>
          </w:tcPr>
          <w:p>
            <w:pPr>
              <w:spacing w:beforeLines="0" w:afterLines="0"/>
              <w:ind w:firstLine="0" w:firstLineChars="0"/>
              <w:jc w:val="center"/>
              <w:rPr>
                <w:rFonts w:ascii="黑体" w:hAnsi="黑体" w:eastAsia="黑体"/>
                <w:sz w:val="24"/>
              </w:rPr>
            </w:pPr>
            <w:r>
              <w:rPr>
                <w:rFonts w:ascii="黑体" w:hAnsi="黑体" w:eastAsia="黑体"/>
                <w:sz w:val="24"/>
              </w:rPr>
              <w:drawing>
                <wp:inline distT="0" distB="0" distL="0" distR="0">
                  <wp:extent cx="2398395" cy="1799590"/>
                  <wp:effectExtent l="0" t="0" r="1905" b="0"/>
                  <wp:docPr id="7" name="图片 7" descr="F:\zf\2021年\1 紫金年度报告\珲春紫金曙光金铜矿\2021信息填报与收资清单-珲春紫金\应急演练管理202103081031323132\6.处理完毕后互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zf\2021年\1 紫金年度报告\珲春紫金曙光金铜矿\2021信息填报与收资清单-珲春紫金\应急演练管理202103081031323132\6.处理完毕后互查.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98815" cy="1800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061" w:hRule="atLeast"/>
          <w:jc w:val="center"/>
        </w:trPr>
        <w:tc>
          <w:tcPr>
            <w:tcW w:w="4264" w:type="dxa"/>
            <w:vAlign w:val="center"/>
          </w:tcPr>
          <w:p>
            <w:pPr>
              <w:spacing w:beforeLines="0" w:afterLines="0"/>
              <w:ind w:firstLine="0" w:firstLineChars="0"/>
              <w:jc w:val="center"/>
              <w:rPr>
                <w:rFonts w:ascii="黑体" w:hAnsi="黑体" w:eastAsia="黑体"/>
                <w:sz w:val="24"/>
              </w:rPr>
            </w:pPr>
            <w:r>
              <w:rPr>
                <w:rFonts w:ascii="黑体" w:hAnsi="黑体" w:eastAsia="黑体"/>
                <w:sz w:val="24"/>
              </w:rPr>
              <w:drawing>
                <wp:inline distT="0" distB="0" distL="0" distR="0">
                  <wp:extent cx="2399665" cy="1799590"/>
                  <wp:effectExtent l="0" t="0" r="635" b="0"/>
                  <wp:docPr id="8" name="图片 8" descr="F:\zf\2021年\1 紫金年度报告\珲春紫金曙光金铜矿\2021信息填报与收资清单-珲春紫金\应急演练管理20210308104103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zf\2021年\1 紫金年度报告\珲春紫金曙光金铜矿\2021信息填报与收资清单-珲春紫金\应急演练管理2021030810410341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00053" cy="1800000"/>
                          </a:xfrm>
                          <a:prstGeom prst="rect">
                            <a:avLst/>
                          </a:prstGeom>
                          <a:noFill/>
                          <a:ln>
                            <a:noFill/>
                          </a:ln>
                        </pic:spPr>
                      </pic:pic>
                    </a:graphicData>
                  </a:graphic>
                </wp:inline>
              </w:drawing>
            </w:r>
          </w:p>
        </w:tc>
        <w:tc>
          <w:tcPr>
            <w:tcW w:w="4264" w:type="dxa"/>
            <w:vAlign w:val="center"/>
          </w:tcPr>
          <w:p>
            <w:pPr>
              <w:spacing w:beforeLines="0" w:afterLines="0"/>
              <w:ind w:firstLine="0" w:firstLineChars="0"/>
              <w:jc w:val="center"/>
              <w:rPr>
                <w:rFonts w:ascii="黑体" w:hAnsi="黑体" w:eastAsia="黑体"/>
                <w:sz w:val="24"/>
              </w:rPr>
            </w:pPr>
            <w:r>
              <w:rPr>
                <w:rFonts w:ascii="黑体" w:hAnsi="黑体" w:eastAsia="黑体"/>
                <w:sz w:val="24"/>
              </w:rPr>
              <w:drawing>
                <wp:inline distT="0" distB="0" distL="0" distR="0">
                  <wp:extent cx="2399665" cy="1799590"/>
                  <wp:effectExtent l="0" t="0" r="635" b="0"/>
                  <wp:docPr id="23" name="图片 23" descr="F:\zf\2021年\1 紫金年度报告\珲春紫金曙光金铜矿\2021信息填报与收资清单-珲春紫金\应急演练管理20210308104103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zf\2021年\1 紫金年度报告\珲春紫金曙光金铜矿\2021信息填报与收资清单-珲春紫金\应急演练管理202103081041034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061" w:hRule="atLeast"/>
          <w:jc w:val="center"/>
        </w:trPr>
        <w:tc>
          <w:tcPr>
            <w:tcW w:w="4264" w:type="dxa"/>
            <w:vAlign w:val="center"/>
          </w:tcPr>
          <w:p>
            <w:pPr>
              <w:spacing w:beforeLines="0" w:afterLines="0"/>
              <w:ind w:firstLine="0" w:firstLineChars="0"/>
              <w:jc w:val="center"/>
            </w:pPr>
            <w:r>
              <w:drawing>
                <wp:inline distT="0" distB="0" distL="0" distR="0">
                  <wp:extent cx="1799590" cy="2399665"/>
                  <wp:effectExtent l="0" t="0" r="0" b="635"/>
                  <wp:docPr id="28" name="图片 28" descr="F:\zf\2021年\1 紫金年度报告\珲春紫金曙光金铜矿\2021信息填报与收资清单-珲春紫金\应急演练管理2021030810410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zf\2021年\1 紫金年度报告\珲春紫金曙光金铜矿\2021信息填报与收资清单-珲春紫金\应急演练管理2021030810410341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0000" cy="2400053"/>
                          </a:xfrm>
                          <a:prstGeom prst="rect">
                            <a:avLst/>
                          </a:prstGeom>
                          <a:noFill/>
                          <a:ln>
                            <a:noFill/>
                          </a:ln>
                        </pic:spPr>
                      </pic:pic>
                    </a:graphicData>
                  </a:graphic>
                </wp:inline>
              </w:drawing>
            </w:r>
          </w:p>
        </w:tc>
        <w:tc>
          <w:tcPr>
            <w:tcW w:w="4264" w:type="dxa"/>
            <w:vAlign w:val="center"/>
          </w:tcPr>
          <w:p>
            <w:pPr>
              <w:spacing w:beforeLines="0" w:afterLines="0"/>
              <w:ind w:firstLine="0" w:firstLineChars="0"/>
              <w:jc w:val="center"/>
            </w:pPr>
            <w:r>
              <w:drawing>
                <wp:inline distT="0" distB="0" distL="0" distR="0">
                  <wp:extent cx="1799590" cy="2399665"/>
                  <wp:effectExtent l="0" t="0" r="0" b="635"/>
                  <wp:docPr id="27" name="图片 27" descr="F:\zf\2021年\1 紫金年度报告\珲春紫金曙光金铜矿\2021信息填报与收资清单-珲春紫金\应急演练管理20210308104103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zf\2021年\1 紫金年度报告\珲春紫金曙光金铜矿\2021信息填报与收资清单-珲春紫金\应急演练管理202103081041034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000" cy="2400053"/>
                          </a:xfrm>
                          <a:prstGeom prst="rect">
                            <a:avLst/>
                          </a:prstGeom>
                          <a:noFill/>
                          <a:ln>
                            <a:noFill/>
                          </a:ln>
                        </pic:spPr>
                      </pic:pic>
                    </a:graphicData>
                  </a:graphic>
                </wp:inline>
              </w:drawing>
            </w:r>
          </w:p>
        </w:tc>
      </w:tr>
    </w:tbl>
    <w:p>
      <w:pPr>
        <w:widowControl/>
        <w:spacing w:beforeLines="0" w:afterLines="0" w:line="240" w:lineRule="auto"/>
        <w:ind w:firstLine="0" w:firstLineChars="0"/>
        <w:jc w:val="center"/>
        <w:rPr>
          <w:rFonts w:hAnsi="黑体" w:eastAsia="黑体"/>
          <w:sz w:val="21"/>
          <w:szCs w:val="21"/>
        </w:rPr>
        <w:sectPr>
          <w:pgSz w:w="11906" w:h="16838"/>
          <w:pgMar w:top="1418" w:right="1418" w:bottom="1418" w:left="1418" w:header="851" w:footer="992" w:gutter="0"/>
          <w:cols w:space="720" w:num="1"/>
          <w:docGrid w:type="lines" w:linePitch="381" w:charSpace="0"/>
        </w:sectPr>
      </w:pPr>
      <w:r>
        <w:rPr>
          <w:rFonts w:hAnsi="黑体" w:eastAsia="黑体"/>
          <w:sz w:val="21"/>
          <w:szCs w:val="21"/>
        </w:rPr>
        <w:t>图</w:t>
      </w:r>
      <w:r>
        <w:rPr>
          <w:rFonts w:eastAsia="黑体"/>
          <w:sz w:val="21"/>
          <w:szCs w:val="21"/>
        </w:rPr>
        <w:t>5</w:t>
      </w:r>
      <w:r>
        <w:rPr>
          <w:rFonts w:hint="eastAsia" w:eastAsia="黑体"/>
          <w:sz w:val="21"/>
          <w:szCs w:val="21"/>
        </w:rPr>
        <w:t>-</w:t>
      </w:r>
      <w:r>
        <w:rPr>
          <w:rFonts w:eastAsia="黑体"/>
          <w:sz w:val="21"/>
          <w:szCs w:val="21"/>
        </w:rPr>
        <w:t xml:space="preserve">1  </w:t>
      </w:r>
      <w:r>
        <w:rPr>
          <w:rFonts w:hAnsi="黑体" w:eastAsia="黑体"/>
          <w:sz w:val="21"/>
          <w:szCs w:val="21"/>
        </w:rPr>
        <w:t>企业应急演练现场情况</w:t>
      </w:r>
    </w:p>
    <w:p>
      <w:pPr>
        <w:pStyle w:val="2"/>
        <w:spacing w:beforeLines="0" w:afterLines="0" w:line="240" w:lineRule="auto"/>
        <w:rPr>
          <w:b w:val="0"/>
          <w:sz w:val="30"/>
          <w:szCs w:val="30"/>
        </w:rPr>
      </w:pPr>
      <w:bookmarkStart w:id="59" w:name="_Toc441676841"/>
      <w:bookmarkStart w:id="60" w:name="_Toc66281450"/>
      <w:r>
        <w:rPr>
          <w:rFonts w:hint="eastAsia"/>
          <w:b w:val="0"/>
          <w:sz w:val="30"/>
          <w:szCs w:val="30"/>
        </w:rPr>
        <w:t>6 清洁生产实施情况</w:t>
      </w:r>
      <w:bookmarkEnd w:id="59"/>
      <w:bookmarkEnd w:id="60"/>
    </w:p>
    <w:p>
      <w:pPr>
        <w:spacing w:before="114" w:beforeLines="30" w:after="114" w:afterLines="30"/>
        <w:ind w:firstLine="480"/>
        <w:rPr>
          <w:rFonts w:eastAsia="仿宋_GB2312"/>
          <w:sz w:val="24"/>
        </w:rPr>
      </w:pPr>
      <w:r>
        <w:rPr>
          <w:rFonts w:hint="eastAsia" w:eastAsia="仿宋_GB2312"/>
          <w:sz w:val="24"/>
        </w:rPr>
        <w:t>2013年6月，曙光金铜矿完成了第三轮清洁生产审核，并于2013年12月30日通过了专家组对清洁生产审核报告的技术评审（吉环科字[2013]123号）；2015年5月28日，曙光金铜矿通过第三轮清洁生产验收（吉环审字[2015]100号）。</w:t>
      </w:r>
    </w:p>
    <w:p>
      <w:pPr>
        <w:spacing w:before="114" w:beforeLines="30" w:after="114" w:afterLines="30"/>
        <w:ind w:firstLine="480"/>
        <w:rPr>
          <w:rFonts w:eastAsia="仿宋_GB2312"/>
          <w:sz w:val="24"/>
        </w:rPr>
      </w:pPr>
      <w:r>
        <w:rPr>
          <w:rFonts w:hint="eastAsia" w:eastAsia="仿宋_GB2312"/>
          <w:sz w:val="24"/>
        </w:rPr>
        <w:t>2015年10月，曙光金铜矿向吉林省环保厅提交了第四轮清洁生产审核方案，此轮提交的清洁生产审核方案均为已建成项目，直接通过吉林省环保厅的清洁生产验收（吉环科字[2015]25号）。</w:t>
      </w:r>
    </w:p>
    <w:p>
      <w:pPr>
        <w:spacing w:before="114" w:beforeLines="30" w:after="114" w:afterLines="30"/>
        <w:ind w:firstLine="480"/>
        <w:rPr>
          <w:rFonts w:eastAsia="仿宋_GB2312"/>
          <w:sz w:val="24"/>
        </w:rPr>
      </w:pPr>
      <w:r>
        <w:rPr>
          <w:rFonts w:hint="eastAsia" w:eastAsia="仿宋_GB2312"/>
          <w:sz w:val="24"/>
        </w:rPr>
        <w:t>2019年，曙光金铜矿组织开展第五轮清洁生产审核，2</w:t>
      </w:r>
      <w:r>
        <w:rPr>
          <w:rFonts w:eastAsia="仿宋_GB2312"/>
          <w:sz w:val="24"/>
        </w:rPr>
        <w:t>019</w:t>
      </w:r>
      <w:r>
        <w:rPr>
          <w:rFonts w:hint="eastAsia" w:eastAsia="仿宋_GB2312"/>
          <w:sz w:val="24"/>
        </w:rPr>
        <w:t>年1</w:t>
      </w:r>
      <w:r>
        <w:rPr>
          <w:rFonts w:eastAsia="仿宋_GB2312"/>
          <w:sz w:val="24"/>
        </w:rPr>
        <w:t>1</w:t>
      </w:r>
      <w:r>
        <w:rPr>
          <w:rFonts w:hint="eastAsia" w:eastAsia="仿宋_GB2312"/>
          <w:sz w:val="24"/>
        </w:rPr>
        <w:t>月1</w:t>
      </w:r>
      <w:r>
        <w:rPr>
          <w:rFonts w:eastAsia="仿宋_GB2312"/>
          <w:sz w:val="24"/>
        </w:rPr>
        <w:t>6</w:t>
      </w:r>
      <w:r>
        <w:rPr>
          <w:rFonts w:hint="eastAsia" w:eastAsia="仿宋_GB2312"/>
          <w:sz w:val="24"/>
        </w:rPr>
        <w:t>日吉林省环科院组织了审核评估会，并以吉环院清[</w:t>
      </w:r>
      <w:r>
        <w:rPr>
          <w:rFonts w:eastAsia="仿宋_GB2312"/>
          <w:sz w:val="24"/>
        </w:rPr>
        <w:t>2019]61</w:t>
      </w:r>
      <w:r>
        <w:rPr>
          <w:rFonts w:hint="eastAsia" w:eastAsia="仿宋_GB2312"/>
          <w:sz w:val="24"/>
        </w:rPr>
        <w:t>号文下发了审核评估技术意见。</w:t>
      </w:r>
    </w:p>
    <w:p>
      <w:pPr>
        <w:spacing w:before="114" w:beforeLines="30" w:after="114" w:afterLines="30"/>
        <w:ind w:firstLine="480"/>
        <w:rPr>
          <w:rFonts w:eastAsia="仿宋_GB2312"/>
          <w:sz w:val="24"/>
        </w:rPr>
      </w:pPr>
      <w:r>
        <w:rPr>
          <w:rFonts w:hint="eastAsia" w:eastAsia="仿宋_GB2312"/>
          <w:sz w:val="24"/>
        </w:rPr>
        <w:t>曙光金铜矿清洁生产审核情况见表6-1。</w:t>
      </w:r>
    </w:p>
    <w:p>
      <w:pPr>
        <w:pStyle w:val="10"/>
        <w:spacing w:before="190"/>
      </w:pPr>
      <w:r>
        <w:rPr>
          <w:rFonts w:hint="eastAsia"/>
        </w:rPr>
        <w:t>表6-1  企业清洁生产审核实施情况</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065"/>
        <w:gridCol w:w="1064"/>
        <w:gridCol w:w="1842"/>
        <w:gridCol w:w="1813"/>
        <w:gridCol w:w="1642"/>
        <w:gridCol w:w="1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94" w:hRule="atLeast"/>
          <w:tblHeader/>
        </w:trPr>
        <w:tc>
          <w:tcPr>
            <w:tcW w:w="580" w:type="pct"/>
            <w:vAlign w:val="center"/>
          </w:tcPr>
          <w:p>
            <w:pPr>
              <w:snapToGrid w:val="0"/>
              <w:spacing w:beforeLines="0" w:afterLines="0" w:line="240" w:lineRule="auto"/>
              <w:ind w:firstLine="0" w:firstLineChars="0"/>
              <w:jc w:val="center"/>
              <w:rPr>
                <w:b/>
                <w:sz w:val="21"/>
              </w:rPr>
            </w:pPr>
            <w:r>
              <w:rPr>
                <w:rFonts w:hint="eastAsia"/>
                <w:b/>
                <w:sz w:val="21"/>
              </w:rPr>
              <w:t>轮次</w:t>
            </w:r>
          </w:p>
        </w:tc>
        <w:tc>
          <w:tcPr>
            <w:tcW w:w="579" w:type="pct"/>
            <w:vAlign w:val="center"/>
          </w:tcPr>
          <w:p>
            <w:pPr>
              <w:snapToGrid w:val="0"/>
              <w:spacing w:beforeLines="0" w:afterLines="0" w:line="240" w:lineRule="auto"/>
              <w:ind w:firstLine="0" w:firstLineChars="0"/>
              <w:jc w:val="center"/>
              <w:rPr>
                <w:b/>
                <w:sz w:val="21"/>
              </w:rPr>
            </w:pPr>
            <w:r>
              <w:rPr>
                <w:rFonts w:hint="eastAsia"/>
                <w:b/>
                <w:sz w:val="21"/>
              </w:rPr>
              <w:t>所属</w:t>
            </w:r>
          </w:p>
          <w:p>
            <w:pPr>
              <w:snapToGrid w:val="0"/>
              <w:spacing w:beforeLines="0" w:afterLines="0" w:line="240" w:lineRule="auto"/>
              <w:ind w:firstLine="0" w:firstLineChars="0"/>
              <w:jc w:val="center"/>
              <w:rPr>
                <w:b/>
                <w:sz w:val="21"/>
              </w:rPr>
            </w:pPr>
            <w:r>
              <w:rPr>
                <w:rFonts w:hint="eastAsia"/>
                <w:b/>
                <w:sz w:val="21"/>
              </w:rPr>
              <w:t>行业</w:t>
            </w:r>
          </w:p>
        </w:tc>
        <w:tc>
          <w:tcPr>
            <w:tcW w:w="1003" w:type="pct"/>
            <w:vAlign w:val="center"/>
          </w:tcPr>
          <w:p>
            <w:pPr>
              <w:snapToGrid w:val="0"/>
              <w:spacing w:beforeLines="0" w:afterLines="0" w:line="240" w:lineRule="auto"/>
              <w:ind w:firstLine="0" w:firstLineChars="0"/>
              <w:jc w:val="center"/>
              <w:rPr>
                <w:b/>
                <w:sz w:val="21"/>
              </w:rPr>
            </w:pPr>
            <w:r>
              <w:rPr>
                <w:rFonts w:hint="eastAsia"/>
                <w:b/>
                <w:sz w:val="21"/>
              </w:rPr>
              <w:t>主体工程竣工环境保护验收时间</w:t>
            </w:r>
          </w:p>
        </w:tc>
        <w:tc>
          <w:tcPr>
            <w:tcW w:w="987" w:type="pct"/>
            <w:vAlign w:val="center"/>
          </w:tcPr>
          <w:p>
            <w:pPr>
              <w:snapToGrid w:val="0"/>
              <w:spacing w:beforeLines="0" w:afterLines="0" w:line="240" w:lineRule="auto"/>
              <w:ind w:firstLine="0" w:firstLineChars="0"/>
              <w:jc w:val="center"/>
              <w:rPr>
                <w:b/>
                <w:sz w:val="21"/>
              </w:rPr>
            </w:pPr>
            <w:r>
              <w:rPr>
                <w:rFonts w:hint="eastAsia"/>
                <w:b/>
                <w:sz w:val="21"/>
              </w:rPr>
              <w:t>完成清洁生产审核报告时间</w:t>
            </w:r>
          </w:p>
        </w:tc>
        <w:tc>
          <w:tcPr>
            <w:tcW w:w="894" w:type="pct"/>
            <w:vAlign w:val="center"/>
          </w:tcPr>
          <w:p>
            <w:pPr>
              <w:snapToGrid w:val="0"/>
              <w:spacing w:beforeLines="0" w:afterLines="0" w:line="240" w:lineRule="auto"/>
              <w:ind w:firstLine="0" w:firstLineChars="0"/>
              <w:jc w:val="center"/>
              <w:rPr>
                <w:b/>
                <w:sz w:val="21"/>
              </w:rPr>
            </w:pPr>
            <w:r>
              <w:rPr>
                <w:rFonts w:hint="eastAsia"/>
                <w:b/>
                <w:sz w:val="21"/>
              </w:rPr>
              <w:t>完成验收时间</w:t>
            </w:r>
          </w:p>
        </w:tc>
        <w:tc>
          <w:tcPr>
            <w:tcW w:w="957" w:type="pct"/>
            <w:vAlign w:val="center"/>
          </w:tcPr>
          <w:p>
            <w:pPr>
              <w:snapToGrid w:val="0"/>
              <w:spacing w:beforeLines="0" w:afterLines="0" w:line="240" w:lineRule="auto"/>
              <w:ind w:firstLine="0" w:firstLineChars="0"/>
              <w:jc w:val="center"/>
              <w:rPr>
                <w:b/>
                <w:sz w:val="21"/>
              </w:rPr>
            </w:pPr>
            <w:r>
              <w:rPr>
                <w:rFonts w:hint="eastAsia"/>
                <w:b/>
                <w:sz w:val="21"/>
              </w:rPr>
              <w:t>审核咨询机构名称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94" w:hRule="atLeast"/>
          <w:tblHeader/>
        </w:trPr>
        <w:tc>
          <w:tcPr>
            <w:tcW w:w="580" w:type="pct"/>
            <w:vAlign w:val="center"/>
          </w:tcPr>
          <w:p>
            <w:pPr>
              <w:snapToGrid w:val="0"/>
              <w:spacing w:beforeLines="0" w:afterLines="0" w:line="240" w:lineRule="auto"/>
              <w:ind w:firstLine="0" w:firstLineChars="0"/>
              <w:jc w:val="center"/>
              <w:rPr>
                <w:sz w:val="21"/>
              </w:rPr>
            </w:pPr>
            <w:r>
              <w:rPr>
                <w:rFonts w:hint="eastAsia"/>
                <w:sz w:val="21"/>
              </w:rPr>
              <w:t>第三轮</w:t>
            </w:r>
          </w:p>
        </w:tc>
        <w:tc>
          <w:tcPr>
            <w:tcW w:w="579" w:type="pct"/>
            <w:vMerge w:val="restart"/>
            <w:vAlign w:val="center"/>
          </w:tcPr>
          <w:p>
            <w:pPr>
              <w:snapToGrid w:val="0"/>
              <w:spacing w:beforeLines="0" w:afterLines="0" w:line="240" w:lineRule="auto"/>
              <w:ind w:firstLine="0" w:firstLineChars="0"/>
              <w:jc w:val="center"/>
              <w:rPr>
                <w:sz w:val="21"/>
              </w:rPr>
            </w:pPr>
            <w:r>
              <w:rPr>
                <w:rFonts w:hint="eastAsia"/>
                <w:sz w:val="21"/>
              </w:rPr>
              <w:t>有色金属采选业</w:t>
            </w:r>
          </w:p>
        </w:tc>
        <w:tc>
          <w:tcPr>
            <w:tcW w:w="1003" w:type="pct"/>
            <w:vMerge w:val="restart"/>
            <w:vAlign w:val="center"/>
          </w:tcPr>
          <w:p>
            <w:pPr>
              <w:snapToGrid w:val="0"/>
              <w:spacing w:beforeLines="0" w:afterLines="0" w:line="240" w:lineRule="auto"/>
              <w:ind w:firstLine="0" w:firstLineChars="0"/>
              <w:jc w:val="center"/>
              <w:rPr>
                <w:sz w:val="21"/>
              </w:rPr>
            </w:pPr>
            <w:r>
              <w:rPr>
                <w:rFonts w:hint="eastAsia"/>
                <w:sz w:val="21"/>
              </w:rPr>
              <w:t>2014.11</w:t>
            </w:r>
          </w:p>
        </w:tc>
        <w:tc>
          <w:tcPr>
            <w:tcW w:w="987" w:type="pct"/>
            <w:vAlign w:val="center"/>
          </w:tcPr>
          <w:p>
            <w:pPr>
              <w:snapToGrid w:val="0"/>
              <w:spacing w:beforeLines="0" w:afterLines="0" w:line="240" w:lineRule="auto"/>
              <w:ind w:firstLine="0" w:firstLineChars="0"/>
              <w:jc w:val="center"/>
              <w:rPr>
                <w:sz w:val="21"/>
              </w:rPr>
            </w:pPr>
            <w:r>
              <w:rPr>
                <w:rFonts w:hint="eastAsia"/>
                <w:sz w:val="21"/>
              </w:rPr>
              <w:t>2015.5</w:t>
            </w:r>
          </w:p>
        </w:tc>
        <w:tc>
          <w:tcPr>
            <w:tcW w:w="894" w:type="pct"/>
            <w:vAlign w:val="center"/>
          </w:tcPr>
          <w:p>
            <w:pPr>
              <w:snapToGrid w:val="0"/>
              <w:spacing w:beforeLines="0" w:afterLines="0" w:line="240" w:lineRule="auto"/>
              <w:ind w:firstLine="0" w:firstLineChars="0"/>
              <w:jc w:val="center"/>
              <w:rPr>
                <w:sz w:val="21"/>
              </w:rPr>
            </w:pPr>
            <w:r>
              <w:rPr>
                <w:rFonts w:hint="eastAsia"/>
                <w:sz w:val="21"/>
              </w:rPr>
              <w:t>2015.5.28</w:t>
            </w:r>
          </w:p>
        </w:tc>
        <w:tc>
          <w:tcPr>
            <w:tcW w:w="957" w:type="pct"/>
            <w:vMerge w:val="restart"/>
            <w:vAlign w:val="center"/>
          </w:tcPr>
          <w:p>
            <w:pPr>
              <w:snapToGrid w:val="0"/>
              <w:spacing w:beforeLines="0" w:afterLines="0" w:line="240" w:lineRule="auto"/>
              <w:ind w:firstLine="0" w:firstLineChars="0"/>
              <w:jc w:val="center"/>
              <w:rPr>
                <w:sz w:val="21"/>
              </w:rPr>
            </w:pPr>
            <w:r>
              <w:rPr>
                <w:rFonts w:hint="eastAsia"/>
                <w:sz w:val="21"/>
              </w:rPr>
              <w:t>吉林省环科环保技术有限公司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94" w:hRule="atLeast"/>
          <w:tblHeader/>
        </w:trPr>
        <w:tc>
          <w:tcPr>
            <w:tcW w:w="580" w:type="pct"/>
            <w:vAlign w:val="center"/>
          </w:tcPr>
          <w:p>
            <w:pPr>
              <w:snapToGrid w:val="0"/>
              <w:spacing w:beforeLines="0" w:afterLines="0" w:line="240" w:lineRule="auto"/>
              <w:ind w:firstLine="0" w:firstLineChars="0"/>
              <w:jc w:val="center"/>
              <w:rPr>
                <w:sz w:val="21"/>
              </w:rPr>
            </w:pPr>
            <w:r>
              <w:rPr>
                <w:rFonts w:hint="eastAsia"/>
                <w:sz w:val="21"/>
              </w:rPr>
              <w:t>第四轮</w:t>
            </w:r>
          </w:p>
        </w:tc>
        <w:tc>
          <w:tcPr>
            <w:tcW w:w="579" w:type="pct"/>
            <w:vMerge w:val="continue"/>
            <w:vAlign w:val="center"/>
          </w:tcPr>
          <w:p>
            <w:pPr>
              <w:snapToGrid w:val="0"/>
              <w:spacing w:beforeLines="0" w:afterLines="0" w:line="240" w:lineRule="auto"/>
              <w:ind w:firstLine="0" w:firstLineChars="0"/>
              <w:jc w:val="center"/>
              <w:rPr>
                <w:sz w:val="21"/>
              </w:rPr>
            </w:pPr>
          </w:p>
        </w:tc>
        <w:tc>
          <w:tcPr>
            <w:tcW w:w="1003" w:type="pct"/>
            <w:vMerge w:val="continue"/>
            <w:vAlign w:val="center"/>
          </w:tcPr>
          <w:p>
            <w:pPr>
              <w:snapToGrid w:val="0"/>
              <w:spacing w:beforeLines="0" w:afterLines="0" w:line="240" w:lineRule="auto"/>
              <w:ind w:firstLine="0" w:firstLineChars="0"/>
              <w:jc w:val="center"/>
              <w:rPr>
                <w:sz w:val="21"/>
              </w:rPr>
            </w:pPr>
          </w:p>
        </w:tc>
        <w:tc>
          <w:tcPr>
            <w:tcW w:w="987" w:type="pct"/>
            <w:vAlign w:val="center"/>
          </w:tcPr>
          <w:p>
            <w:pPr>
              <w:snapToGrid w:val="0"/>
              <w:spacing w:beforeLines="0" w:afterLines="0" w:line="240" w:lineRule="auto"/>
              <w:ind w:firstLine="0" w:firstLineChars="0"/>
              <w:jc w:val="center"/>
              <w:rPr>
                <w:sz w:val="21"/>
              </w:rPr>
            </w:pPr>
            <w:r>
              <w:rPr>
                <w:rFonts w:hint="eastAsia"/>
                <w:sz w:val="21"/>
              </w:rPr>
              <w:t>2015.12</w:t>
            </w:r>
          </w:p>
        </w:tc>
        <w:tc>
          <w:tcPr>
            <w:tcW w:w="894" w:type="pct"/>
            <w:vAlign w:val="center"/>
          </w:tcPr>
          <w:p>
            <w:pPr>
              <w:snapToGrid w:val="0"/>
              <w:spacing w:beforeLines="0" w:afterLines="0" w:line="240" w:lineRule="auto"/>
              <w:ind w:firstLine="0" w:firstLineChars="0"/>
              <w:jc w:val="center"/>
              <w:rPr>
                <w:sz w:val="21"/>
              </w:rPr>
            </w:pPr>
            <w:r>
              <w:rPr>
                <w:rFonts w:hint="eastAsia"/>
                <w:sz w:val="21"/>
              </w:rPr>
              <w:t>2015.12.23</w:t>
            </w:r>
          </w:p>
        </w:tc>
        <w:tc>
          <w:tcPr>
            <w:tcW w:w="957" w:type="pct"/>
            <w:vMerge w:val="continue"/>
            <w:vAlign w:val="center"/>
          </w:tcPr>
          <w:p>
            <w:pPr>
              <w:snapToGrid w:val="0"/>
              <w:spacing w:beforeLines="0" w:afterLines="0"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94" w:hRule="atLeast"/>
          <w:tblHeader/>
        </w:trPr>
        <w:tc>
          <w:tcPr>
            <w:tcW w:w="580" w:type="pct"/>
            <w:vAlign w:val="center"/>
          </w:tcPr>
          <w:p>
            <w:pPr>
              <w:snapToGrid w:val="0"/>
              <w:spacing w:beforeLines="0" w:afterLines="0" w:line="240" w:lineRule="auto"/>
              <w:ind w:firstLine="0" w:firstLineChars="0"/>
              <w:jc w:val="center"/>
              <w:rPr>
                <w:sz w:val="21"/>
              </w:rPr>
            </w:pPr>
            <w:r>
              <w:rPr>
                <w:rFonts w:hint="eastAsia"/>
                <w:sz w:val="21"/>
              </w:rPr>
              <w:t>第五轮</w:t>
            </w:r>
          </w:p>
        </w:tc>
        <w:tc>
          <w:tcPr>
            <w:tcW w:w="579" w:type="pct"/>
            <w:vMerge w:val="continue"/>
            <w:vAlign w:val="center"/>
          </w:tcPr>
          <w:p>
            <w:pPr>
              <w:snapToGrid w:val="0"/>
              <w:spacing w:beforeLines="0" w:afterLines="0" w:line="240" w:lineRule="auto"/>
              <w:ind w:firstLine="0" w:firstLineChars="0"/>
              <w:jc w:val="center"/>
              <w:rPr>
                <w:sz w:val="21"/>
              </w:rPr>
            </w:pPr>
          </w:p>
        </w:tc>
        <w:tc>
          <w:tcPr>
            <w:tcW w:w="1003" w:type="pct"/>
            <w:vMerge w:val="continue"/>
            <w:vAlign w:val="center"/>
          </w:tcPr>
          <w:p>
            <w:pPr>
              <w:snapToGrid w:val="0"/>
              <w:spacing w:beforeLines="0" w:afterLines="0" w:line="240" w:lineRule="auto"/>
              <w:ind w:firstLine="0" w:firstLineChars="0"/>
              <w:jc w:val="center"/>
              <w:rPr>
                <w:sz w:val="21"/>
              </w:rPr>
            </w:pPr>
          </w:p>
        </w:tc>
        <w:tc>
          <w:tcPr>
            <w:tcW w:w="987" w:type="pct"/>
            <w:vAlign w:val="center"/>
          </w:tcPr>
          <w:p>
            <w:pPr>
              <w:snapToGrid w:val="0"/>
              <w:spacing w:beforeLines="0" w:afterLines="0" w:line="240" w:lineRule="auto"/>
              <w:ind w:firstLine="0" w:firstLineChars="0"/>
              <w:jc w:val="center"/>
              <w:rPr>
                <w:sz w:val="21"/>
              </w:rPr>
            </w:pPr>
            <w:r>
              <w:rPr>
                <w:rFonts w:hint="eastAsia"/>
                <w:sz w:val="21"/>
              </w:rPr>
              <w:t>2</w:t>
            </w:r>
            <w:r>
              <w:rPr>
                <w:sz w:val="21"/>
              </w:rPr>
              <w:t>019.12</w:t>
            </w:r>
          </w:p>
        </w:tc>
        <w:tc>
          <w:tcPr>
            <w:tcW w:w="894" w:type="pct"/>
            <w:vAlign w:val="center"/>
          </w:tcPr>
          <w:p>
            <w:pPr>
              <w:snapToGrid w:val="0"/>
              <w:spacing w:beforeLines="0" w:afterLines="0" w:line="240" w:lineRule="auto"/>
              <w:ind w:firstLine="0" w:firstLineChars="0"/>
              <w:jc w:val="center"/>
              <w:rPr>
                <w:sz w:val="21"/>
              </w:rPr>
            </w:pPr>
            <w:r>
              <w:rPr>
                <w:rFonts w:hint="eastAsia"/>
                <w:sz w:val="21"/>
              </w:rPr>
              <w:t>2</w:t>
            </w:r>
            <w:r>
              <w:rPr>
                <w:sz w:val="21"/>
              </w:rPr>
              <w:t>019.12.5</w:t>
            </w:r>
          </w:p>
        </w:tc>
        <w:tc>
          <w:tcPr>
            <w:tcW w:w="957" w:type="pct"/>
            <w:vMerge w:val="continue"/>
            <w:vAlign w:val="center"/>
          </w:tcPr>
          <w:p>
            <w:pPr>
              <w:snapToGrid w:val="0"/>
              <w:spacing w:beforeLines="0" w:afterLines="0" w:line="240" w:lineRule="auto"/>
              <w:ind w:firstLine="0" w:firstLineChars="0"/>
              <w:jc w:val="center"/>
              <w:rPr>
                <w:sz w:val="21"/>
              </w:rPr>
            </w:pPr>
          </w:p>
        </w:tc>
      </w:tr>
    </w:tbl>
    <w:p>
      <w:pPr>
        <w:spacing w:before="152" w:after="152"/>
        <w:ind w:firstLine="560"/>
        <w:sectPr>
          <w:pgSz w:w="11906" w:h="16838"/>
          <w:pgMar w:top="1418" w:right="1418" w:bottom="1418" w:left="1418" w:header="851" w:footer="992" w:gutter="0"/>
          <w:cols w:space="720" w:num="1"/>
          <w:docGrid w:type="lines" w:linePitch="381" w:charSpace="0"/>
        </w:sectPr>
      </w:pPr>
    </w:p>
    <w:p>
      <w:pPr>
        <w:pStyle w:val="2"/>
        <w:spacing w:beforeLines="0" w:afterLines="0" w:line="240" w:lineRule="auto"/>
        <w:rPr>
          <w:b w:val="0"/>
          <w:sz w:val="30"/>
          <w:szCs w:val="30"/>
        </w:rPr>
      </w:pPr>
      <w:bookmarkStart w:id="61" w:name="_Toc66281451"/>
      <w:bookmarkStart w:id="62" w:name="_Toc441676842"/>
      <w:r>
        <w:rPr>
          <w:rFonts w:hint="eastAsia"/>
          <w:b w:val="0"/>
          <w:sz w:val="30"/>
          <w:szCs w:val="30"/>
        </w:rPr>
        <w:t>7 受到环保行政处罚情况</w:t>
      </w:r>
      <w:bookmarkEnd w:id="61"/>
      <w:bookmarkEnd w:id="62"/>
    </w:p>
    <w:p>
      <w:pPr>
        <w:spacing w:before="114" w:beforeLines="30" w:after="114" w:afterLines="30"/>
        <w:ind w:firstLine="480"/>
        <w:rPr>
          <w:rFonts w:eastAsia="仿宋_GB2312"/>
          <w:sz w:val="24"/>
        </w:rPr>
      </w:pPr>
      <w:r>
        <w:rPr>
          <w:rFonts w:hint="eastAsia" w:eastAsia="仿宋_GB2312"/>
          <w:sz w:val="24"/>
        </w:rPr>
        <w:t>2020年，曙光金铜矿未发生环境违法行为、重特大环境污染事故、环保诉讼或上访、媒体曝光以及其它环保违法违规行为，没有受到环保行政处罚。</w:t>
      </w:r>
    </w:p>
    <w:p>
      <w:pPr>
        <w:spacing w:before="152" w:after="152"/>
        <w:ind w:firstLine="560"/>
        <w:sectPr>
          <w:pgSz w:w="11906" w:h="16838"/>
          <w:pgMar w:top="1418" w:right="1418" w:bottom="1418" w:left="1418" w:header="851" w:footer="992" w:gutter="0"/>
          <w:cols w:space="720" w:num="1"/>
          <w:docGrid w:type="lines" w:linePitch="381" w:charSpace="0"/>
        </w:sectPr>
      </w:pPr>
    </w:p>
    <w:p>
      <w:pPr>
        <w:pStyle w:val="2"/>
        <w:spacing w:beforeLines="0" w:afterLines="0" w:line="240" w:lineRule="auto"/>
        <w:rPr>
          <w:b w:val="0"/>
          <w:sz w:val="30"/>
          <w:szCs w:val="30"/>
        </w:rPr>
      </w:pPr>
      <w:bookmarkStart w:id="63" w:name="_Toc66281452"/>
      <w:bookmarkStart w:id="64" w:name="_Toc441676843"/>
      <w:bookmarkStart w:id="65" w:name="_Toc435621460"/>
      <w:bookmarkStart w:id="66" w:name="_Toc409074569"/>
      <w:bookmarkStart w:id="67" w:name="_Toc329529485"/>
      <w:bookmarkStart w:id="68" w:name="_Toc380682333"/>
      <w:bookmarkStart w:id="69" w:name="_Toc304366131"/>
      <w:r>
        <w:rPr>
          <w:rFonts w:hint="eastAsia"/>
          <w:b w:val="0"/>
          <w:sz w:val="30"/>
          <w:szCs w:val="30"/>
        </w:rPr>
        <w:t>8 环保工作总结及改进计划</w:t>
      </w:r>
      <w:bookmarkEnd w:id="63"/>
      <w:bookmarkEnd w:id="64"/>
    </w:p>
    <w:p>
      <w:pPr>
        <w:pStyle w:val="3"/>
        <w:rPr>
          <w:rFonts w:hAnsi="宋体"/>
          <w:color w:val="auto"/>
        </w:rPr>
      </w:pPr>
      <w:bookmarkStart w:id="70" w:name="_Toc441676844"/>
      <w:bookmarkStart w:id="71" w:name="_Toc66281453"/>
      <w:r>
        <w:rPr>
          <w:color w:val="auto"/>
        </w:rPr>
        <w:t>8.1 20</w:t>
      </w:r>
      <w:r>
        <w:rPr>
          <w:rFonts w:hint="eastAsia"/>
          <w:color w:val="auto"/>
        </w:rPr>
        <w:t>20</w:t>
      </w:r>
      <w:r>
        <w:rPr>
          <w:rFonts w:hAnsi="宋体"/>
          <w:color w:val="auto"/>
        </w:rPr>
        <w:t>年环保工作总结</w:t>
      </w:r>
      <w:bookmarkEnd w:id="70"/>
      <w:bookmarkEnd w:id="71"/>
    </w:p>
    <w:p>
      <w:pPr>
        <w:spacing w:before="152" w:after="152"/>
        <w:ind w:firstLine="480"/>
        <w:rPr>
          <w:rFonts w:eastAsia="仿宋_GB2312"/>
          <w:sz w:val="24"/>
        </w:rPr>
      </w:pPr>
      <w:bookmarkStart w:id="72" w:name="_Toc441676852"/>
      <w:r>
        <w:rPr>
          <w:rFonts w:hint="eastAsia" w:eastAsia="仿宋_GB2312"/>
          <w:sz w:val="24"/>
        </w:rPr>
        <w:t>（1）根据《排污许可管理办法（试行）》《排污许可证申请与核发技术规范-锅炉》及《固定污染源排污许可分类管理名录（2019年版）》有关要求，</w:t>
      </w:r>
      <w:r>
        <w:rPr>
          <w:rFonts w:eastAsia="仿宋_GB2312"/>
          <w:sz w:val="24"/>
        </w:rPr>
        <w:t>曙光金铜矿</w:t>
      </w:r>
      <w:r>
        <w:rPr>
          <w:rFonts w:hint="eastAsia" w:eastAsia="仿宋_GB2312"/>
          <w:sz w:val="24"/>
        </w:rPr>
        <w:t>申报办理了《曙光金铜矿排污许可证》，由延边朝鲜族自治州生态环境局发证。并按照排污许可管理规范有关要求，逐步建立采矿、选矿、尾矿库、采暖锅炉、生活污水等环保设施运行台账，按要求在系统中填报相关数据。</w:t>
      </w:r>
    </w:p>
    <w:p>
      <w:pPr>
        <w:spacing w:before="152" w:after="152"/>
        <w:ind w:firstLine="480"/>
        <w:rPr>
          <w:rFonts w:eastAsia="仿宋_GB2312"/>
          <w:sz w:val="24"/>
        </w:rPr>
      </w:pPr>
      <w:r>
        <w:rPr>
          <w:rFonts w:hint="eastAsia" w:eastAsia="仿宋_GB2312"/>
          <w:sz w:val="24"/>
        </w:rPr>
        <w:t>（2）</w:t>
      </w:r>
      <w:r>
        <w:rPr>
          <w:rFonts w:eastAsia="仿宋_GB2312"/>
          <w:sz w:val="24"/>
        </w:rPr>
        <w:t>曙光金铜矿</w:t>
      </w:r>
      <w:r>
        <w:rPr>
          <w:rFonts w:hint="eastAsia" w:eastAsia="仿宋_GB2312"/>
          <w:sz w:val="24"/>
        </w:rPr>
        <w:t>办理了辐射安全许可证变更，由延边朝鲜族自治州生态环境局珲春市分局发证。此外，2020年公司还开展了ISO9001质量、ISO14001环境、OHSAS18001职业健康体系认证，公司有15人经过培训考核，并取得了三个体系内审证书，目前公司“三标一体”已通过了方圆认证集团外审，已在2020年12月取得证书。</w:t>
      </w:r>
    </w:p>
    <w:p>
      <w:pPr>
        <w:spacing w:before="152" w:after="152"/>
        <w:ind w:firstLine="480"/>
        <w:rPr>
          <w:rFonts w:eastAsia="仿宋_GB2312"/>
          <w:sz w:val="24"/>
        </w:rPr>
      </w:pPr>
      <w:r>
        <w:rPr>
          <w:rFonts w:hint="eastAsia" w:eastAsia="仿宋_GB2312"/>
          <w:sz w:val="24"/>
        </w:rPr>
        <w:t>（3）</w:t>
      </w:r>
      <w:r>
        <w:rPr>
          <w:rFonts w:eastAsia="仿宋_GB2312"/>
          <w:sz w:val="24"/>
        </w:rPr>
        <w:t>曙光金铜矿</w:t>
      </w:r>
      <w:r>
        <w:rPr>
          <w:rFonts w:hint="eastAsia" w:eastAsia="仿宋_GB2312"/>
          <w:sz w:val="24"/>
        </w:rPr>
        <w:t>进一步规范固体废物管理工作，制定2020年度危险废物管理计划并在珲春市环保局办理备案，2020年共产生、收集贮存废机油110.21吨，废油桶0.846吨，委托吉林市昆仑四通石油化工有限公司处置废机油124.52吨，委托长春一汽四环鸿祥实业有限公司处置废油桶2.09吨，全过程经全国固废管理信息系统执行转移联单制度。</w:t>
      </w:r>
    </w:p>
    <w:p>
      <w:pPr>
        <w:spacing w:before="152" w:after="152"/>
        <w:ind w:firstLine="480"/>
        <w:rPr>
          <w:rFonts w:eastAsia="仿宋_GB2312"/>
          <w:sz w:val="24"/>
        </w:rPr>
      </w:pPr>
      <w:r>
        <w:rPr>
          <w:rFonts w:hint="eastAsia" w:eastAsia="仿宋_GB2312"/>
          <w:sz w:val="24"/>
        </w:rPr>
        <w:t>（4）按照《中华人民共和国环境保护税法》，根据环保部门及第三方检测单位污染物监测报告，核算2020年环保税共44211.99元，报送财务部申报当地税务部门，确保依法合规缴纳环保税。</w:t>
      </w:r>
    </w:p>
    <w:p>
      <w:pPr>
        <w:spacing w:before="152" w:after="152"/>
        <w:ind w:firstLine="480"/>
        <w:rPr>
          <w:rFonts w:eastAsia="仿宋_GB2312"/>
          <w:sz w:val="24"/>
        </w:rPr>
      </w:pPr>
      <w:r>
        <w:rPr>
          <w:rFonts w:hint="eastAsia" w:eastAsia="仿宋_GB2312"/>
          <w:sz w:val="24"/>
        </w:rPr>
        <w:t>（5）2020年，尾矿回水量1700.74万吨，取用清水量 94.25万吨。</w:t>
      </w:r>
    </w:p>
    <w:p>
      <w:pPr>
        <w:spacing w:before="152" w:after="152"/>
        <w:ind w:firstLine="480"/>
        <w:rPr>
          <w:rFonts w:eastAsia="仿宋_GB2312"/>
          <w:sz w:val="24"/>
        </w:rPr>
      </w:pPr>
      <w:r>
        <w:rPr>
          <w:rFonts w:hint="eastAsia" w:eastAsia="仿宋_GB2312"/>
          <w:sz w:val="24"/>
        </w:rPr>
        <w:t>（6）</w:t>
      </w:r>
      <w:r>
        <w:rPr>
          <w:rFonts w:eastAsia="仿宋_GB2312"/>
          <w:sz w:val="24"/>
        </w:rPr>
        <w:t>曙光金铜矿</w:t>
      </w:r>
      <w:r>
        <w:rPr>
          <w:rFonts w:hint="eastAsia" w:eastAsia="仿宋_GB2312"/>
          <w:sz w:val="24"/>
        </w:rPr>
        <w:t>委托第三方检测单位对选矿废气、尾矿废水、尾矿库地下水、香房河地表水、矿区环境空气、噪声及矿区周边土壤重金属污染物开展环境监测工作，2020年，共检测选矿厂废气4次、锅炉大气污染物2次、选矿厂回水12次、地表水4次、地下水3次、露采淋溶水2次、环境空气4次、噪声4次、环境土壤1次。</w:t>
      </w:r>
    </w:p>
    <w:p>
      <w:pPr>
        <w:spacing w:before="152" w:after="152"/>
        <w:ind w:firstLine="480"/>
        <w:rPr>
          <w:rFonts w:eastAsia="仿宋_GB2312"/>
          <w:sz w:val="24"/>
        </w:rPr>
      </w:pPr>
      <w:r>
        <w:rPr>
          <w:rFonts w:hint="eastAsia" w:eastAsia="仿宋_GB2312"/>
          <w:sz w:val="24"/>
        </w:rPr>
        <w:t>（7）</w:t>
      </w:r>
      <w:r>
        <w:rPr>
          <w:rFonts w:eastAsia="仿宋_GB2312"/>
          <w:sz w:val="24"/>
        </w:rPr>
        <w:t>曙光金铜矿</w:t>
      </w:r>
      <w:r>
        <w:rPr>
          <w:rFonts w:hint="eastAsia" w:eastAsia="仿宋_GB2312"/>
          <w:sz w:val="24"/>
        </w:rPr>
        <w:t>落实矿山生态环境恢复治理与土地复垦工作，对排土场和尾矿库场区开展表土剥离、表土回填、全面整地等水土保持工程措施，共收集表土面积27000㎡，表土深度1.5-2.0m，建设了采矿区、尾矿库等设施运营期排水沟，完成工程总投资683.5万元。</w:t>
      </w:r>
    </w:p>
    <w:p>
      <w:pPr>
        <w:spacing w:before="152" w:after="152"/>
        <w:ind w:firstLine="480"/>
        <w:rPr>
          <w:rFonts w:eastAsia="仿宋_GB2312"/>
          <w:sz w:val="24"/>
        </w:rPr>
      </w:pPr>
      <w:r>
        <w:rPr>
          <w:rFonts w:hint="eastAsia" w:eastAsia="仿宋_GB2312"/>
          <w:sz w:val="24"/>
        </w:rPr>
        <w:t>（8）</w:t>
      </w:r>
      <w:r>
        <w:rPr>
          <w:rFonts w:eastAsia="仿宋_GB2312"/>
          <w:sz w:val="24"/>
        </w:rPr>
        <w:t>曙光金铜矿</w:t>
      </w:r>
      <w:r>
        <w:rPr>
          <w:rFonts w:hint="eastAsia" w:eastAsia="仿宋_GB2312"/>
          <w:sz w:val="24"/>
        </w:rPr>
        <w:t>完成对采暖锅炉大修和除尘器维护工作，保证锅炉除尘、脱硫设施正常运行，颗粒物、二氧化硫、氮氧化物等污染物达标排放。</w:t>
      </w:r>
    </w:p>
    <w:p>
      <w:pPr>
        <w:spacing w:before="152" w:after="152"/>
        <w:ind w:firstLine="480"/>
        <w:rPr>
          <w:rFonts w:eastAsia="仿宋_GB2312"/>
          <w:sz w:val="24"/>
        </w:rPr>
      </w:pPr>
      <w:r>
        <w:rPr>
          <w:rFonts w:hint="eastAsia" w:eastAsia="仿宋_GB2312"/>
          <w:sz w:val="24"/>
        </w:rPr>
        <w:t>（9）按年初《紫金矿业集团股份有限公司2020年生态环保工作安排》要求，</w:t>
      </w:r>
      <w:r>
        <w:rPr>
          <w:rFonts w:eastAsia="仿宋_GB2312"/>
          <w:sz w:val="24"/>
        </w:rPr>
        <w:t>曙光金铜矿</w:t>
      </w:r>
      <w:r>
        <w:rPr>
          <w:rFonts w:hint="eastAsia" w:eastAsia="仿宋_GB2312"/>
          <w:sz w:val="24"/>
        </w:rPr>
        <w:t>编制完成《珲春紫金矿业有限公司2021-2023年生态环保专项规划》及《2021年生态环保，绿色矿山建设具体工作计划》，上报矿山管理部及集团环保与生态部。</w:t>
      </w:r>
    </w:p>
    <w:p>
      <w:pPr>
        <w:spacing w:before="152" w:after="152"/>
        <w:ind w:firstLine="480"/>
        <w:rPr>
          <w:rFonts w:eastAsia="仿宋_GB2312"/>
          <w:sz w:val="24"/>
        </w:rPr>
      </w:pPr>
      <w:r>
        <w:rPr>
          <w:rFonts w:hint="eastAsia" w:eastAsia="仿宋_GB2312"/>
          <w:sz w:val="24"/>
        </w:rPr>
        <w:t>（10）按照相关设计资料图纸，完成曙光金铜矿9500t/d改扩建项目尾矿库6#排水井（主洞）和坝下排水斜槽实施封堵工程；完成自选矿厂至浓密机和砂泵站架桥尾矿输送管线段防泄漏槽的安装工作，防止管线矿浆泄漏进入香房河造成环境污染。</w:t>
      </w:r>
    </w:p>
    <w:p>
      <w:pPr>
        <w:spacing w:before="152" w:after="152"/>
        <w:ind w:firstLine="480"/>
        <w:rPr>
          <w:rFonts w:eastAsia="仿宋_GB2312"/>
          <w:sz w:val="24"/>
        </w:rPr>
      </w:pPr>
      <w:r>
        <w:rPr>
          <w:rFonts w:hint="eastAsia" w:eastAsia="仿宋_GB2312"/>
          <w:sz w:val="24"/>
        </w:rPr>
        <w:t>（11）受台风灾害影响，二期尾矿库和三期尾矿库清污分流系统等设施受损严重，完成对二、三期尾矿库受损排水沟的修复工作；完成二期尾矿库第22-15级子坝水冲沟回填修复工作，并对坝面重新覆土、平整。</w:t>
      </w:r>
    </w:p>
    <w:p>
      <w:pPr>
        <w:spacing w:before="152" w:after="152"/>
        <w:ind w:firstLine="480"/>
        <w:rPr>
          <w:rFonts w:eastAsia="仿宋_GB2312"/>
          <w:sz w:val="24"/>
        </w:rPr>
      </w:pPr>
      <w:r>
        <w:rPr>
          <w:rFonts w:hint="eastAsia" w:eastAsia="仿宋_GB2312"/>
          <w:sz w:val="24"/>
        </w:rPr>
        <w:t>（12）</w:t>
      </w:r>
      <w:r>
        <w:rPr>
          <w:rFonts w:eastAsia="仿宋_GB2312"/>
          <w:sz w:val="24"/>
        </w:rPr>
        <w:t>曙光金铜矿</w:t>
      </w:r>
      <w:r>
        <w:rPr>
          <w:rFonts w:hint="eastAsia" w:eastAsia="仿宋_GB2312"/>
          <w:sz w:val="24"/>
        </w:rPr>
        <w:t>完善北山露天矿采场至选矿厂运输道路和北山露天矿采场至排土场道路自动喷淋降尘设施，加强维护保养，确保正常运行，减少二次扬尘污染。</w:t>
      </w:r>
    </w:p>
    <w:p>
      <w:pPr>
        <w:pStyle w:val="3"/>
        <w:rPr>
          <w:color w:val="auto"/>
        </w:rPr>
      </w:pPr>
      <w:bookmarkStart w:id="73" w:name="_Toc66281454"/>
      <w:r>
        <w:rPr>
          <w:color w:val="auto"/>
        </w:rPr>
        <w:t>8.2 20</w:t>
      </w:r>
      <w:r>
        <w:rPr>
          <w:rFonts w:hint="eastAsia"/>
          <w:color w:val="auto"/>
        </w:rPr>
        <w:t>21</w:t>
      </w:r>
      <w:r>
        <w:rPr>
          <w:color w:val="auto"/>
        </w:rPr>
        <w:t>年环保工作计划</w:t>
      </w:r>
      <w:bookmarkEnd w:id="72"/>
      <w:bookmarkEnd w:id="73"/>
    </w:p>
    <w:p>
      <w:pPr>
        <w:tabs>
          <w:tab w:val="left" w:pos="1371"/>
        </w:tabs>
        <w:spacing w:before="152" w:after="152"/>
        <w:ind w:firstLine="480"/>
        <w:rPr>
          <w:rFonts w:eastAsia="仿宋_GB2312"/>
          <w:sz w:val="24"/>
        </w:rPr>
      </w:pPr>
      <w:r>
        <w:rPr>
          <w:rFonts w:hint="eastAsia" w:eastAsia="仿宋_GB2312"/>
          <w:sz w:val="24"/>
        </w:rPr>
        <w:t>（1）计划完成珲春紫金矿业有限公司曙光金铜矿9500t/d改扩建项目尾矿库补充水土保持方案编制、监理检测和技术评估（验收）工作。</w:t>
      </w:r>
    </w:p>
    <w:p>
      <w:pPr>
        <w:spacing w:before="152" w:after="152"/>
        <w:ind w:firstLine="480"/>
        <w:rPr>
          <w:rFonts w:eastAsia="仿宋_GB2312"/>
          <w:sz w:val="24"/>
        </w:rPr>
      </w:pPr>
      <w:r>
        <w:rPr>
          <w:rFonts w:hint="eastAsia" w:eastAsia="仿宋_GB2312"/>
          <w:sz w:val="24"/>
        </w:rPr>
        <w:t>（2）</w:t>
      </w:r>
      <w:r>
        <w:rPr>
          <w:rFonts w:eastAsia="仿宋_GB2312"/>
          <w:sz w:val="24"/>
        </w:rPr>
        <w:t>曙光金铜矿</w:t>
      </w:r>
      <w:r>
        <w:rPr>
          <w:rFonts w:hint="eastAsia" w:eastAsia="仿宋_GB2312"/>
          <w:sz w:val="24"/>
        </w:rPr>
        <w:t>对全矿各区域环保系统、环保设施以及环境秩序进行网格化划分，明确各个区域环保责任人，更新和完善网格化标准，定期进行检查和考核。</w:t>
      </w:r>
    </w:p>
    <w:p>
      <w:pPr>
        <w:spacing w:before="152" w:after="152"/>
        <w:ind w:firstLine="480"/>
        <w:rPr>
          <w:rFonts w:eastAsia="仿宋_GB2312"/>
          <w:sz w:val="24"/>
        </w:rPr>
      </w:pPr>
      <w:r>
        <w:rPr>
          <w:rFonts w:hint="eastAsia" w:eastAsia="仿宋_GB2312"/>
          <w:sz w:val="24"/>
        </w:rPr>
        <w:t>（3）</w:t>
      </w:r>
      <w:r>
        <w:rPr>
          <w:rFonts w:eastAsia="仿宋_GB2312"/>
          <w:sz w:val="24"/>
        </w:rPr>
        <w:t>曙光金铜矿</w:t>
      </w:r>
      <w:r>
        <w:rPr>
          <w:rFonts w:hint="eastAsia" w:eastAsia="仿宋_GB2312"/>
          <w:sz w:val="24"/>
        </w:rPr>
        <w:t>委托第三方检测机构开展矿区废水、废气、地下水、土壤、地表水、环境空气及噪声等自行监测工作，并严格按照自行监测和排污许可证台账管理要求，做好矿区雨水排放口的水质监测工作，严格按照“全国排污许可证管理信息平台”和“全国污染源监测信息管理与共享平台”台账管理和信息填报有关要求，切实做好档案的规范建立和管理，并及时将相关监测结果向社会公开。</w:t>
      </w:r>
    </w:p>
    <w:p>
      <w:pPr>
        <w:spacing w:before="152" w:after="152"/>
        <w:ind w:firstLine="480"/>
        <w:rPr>
          <w:rFonts w:eastAsia="仿宋_GB2312"/>
          <w:sz w:val="24"/>
        </w:rPr>
      </w:pPr>
      <w:r>
        <w:rPr>
          <w:rFonts w:hint="eastAsia" w:eastAsia="仿宋_GB2312"/>
          <w:sz w:val="24"/>
        </w:rPr>
        <w:t>（4）</w:t>
      </w:r>
      <w:r>
        <w:rPr>
          <w:rFonts w:eastAsia="仿宋_GB2312"/>
          <w:sz w:val="24"/>
        </w:rPr>
        <w:t>曙光金铜矿</w:t>
      </w:r>
      <w:r>
        <w:rPr>
          <w:rFonts w:hint="eastAsia" w:eastAsia="仿宋_GB2312"/>
          <w:sz w:val="24"/>
        </w:rPr>
        <w:t>加大对选矿厂除尘器、锅炉房除尘及脱硫环保设施的维修维护管理，确保环保设施同步运转率达到100%，保证各类废气污染物达标排放。</w:t>
      </w:r>
    </w:p>
    <w:p>
      <w:pPr>
        <w:spacing w:before="152" w:after="152"/>
        <w:ind w:firstLine="480"/>
        <w:rPr>
          <w:rFonts w:eastAsia="仿宋_GB2312"/>
          <w:sz w:val="24"/>
        </w:rPr>
      </w:pPr>
      <w:r>
        <w:rPr>
          <w:rFonts w:hint="eastAsia" w:eastAsia="仿宋_GB2312"/>
          <w:sz w:val="24"/>
        </w:rPr>
        <w:t>（5）</w:t>
      </w:r>
      <w:r>
        <w:rPr>
          <w:rFonts w:eastAsia="仿宋_GB2312"/>
          <w:sz w:val="24"/>
        </w:rPr>
        <w:t>曙光金铜矿</w:t>
      </w:r>
      <w:r>
        <w:rPr>
          <w:rFonts w:hint="eastAsia" w:eastAsia="仿宋_GB2312"/>
          <w:sz w:val="24"/>
        </w:rPr>
        <w:t>做好选矿厂核子秤放射源年度检测评估，委托监测单位对接触核子秤作业人员进行个人剂量检测。</w:t>
      </w:r>
    </w:p>
    <w:p>
      <w:pPr>
        <w:spacing w:before="152" w:after="152"/>
        <w:ind w:firstLine="480"/>
        <w:rPr>
          <w:rFonts w:eastAsia="仿宋_GB2312"/>
          <w:sz w:val="24"/>
        </w:rPr>
      </w:pPr>
      <w:r>
        <w:rPr>
          <w:rFonts w:hint="eastAsia" w:eastAsia="仿宋_GB2312"/>
          <w:sz w:val="24"/>
        </w:rPr>
        <w:t>（6）</w:t>
      </w:r>
      <w:r>
        <w:rPr>
          <w:rFonts w:eastAsia="仿宋_GB2312"/>
          <w:sz w:val="24"/>
        </w:rPr>
        <w:t>曙光金铜矿</w:t>
      </w:r>
      <w:r>
        <w:rPr>
          <w:rFonts w:hint="eastAsia" w:eastAsia="仿宋_GB2312"/>
          <w:sz w:val="24"/>
        </w:rPr>
        <w:t>不断完善露采、尾矿库清污分流系统环保设施，对排水沟渠进行清理，确保畅通无渗漏，尽量做好“清污分流、污污分流”，降低环保设施蓄水压力，保障生产废水的良性循环，确保正常生产期间废水不外排。</w:t>
      </w:r>
    </w:p>
    <w:p>
      <w:pPr>
        <w:spacing w:before="152" w:after="152"/>
        <w:ind w:firstLine="480"/>
        <w:rPr>
          <w:rFonts w:eastAsia="仿宋_GB2312"/>
          <w:sz w:val="24"/>
        </w:rPr>
      </w:pPr>
      <w:r>
        <w:rPr>
          <w:rFonts w:hint="eastAsia" w:eastAsia="仿宋_GB2312"/>
          <w:sz w:val="24"/>
        </w:rPr>
        <w:t>（7）</w:t>
      </w:r>
      <w:r>
        <w:rPr>
          <w:rFonts w:eastAsia="仿宋_GB2312"/>
          <w:sz w:val="24"/>
        </w:rPr>
        <w:t>曙光金铜矿</w:t>
      </w:r>
      <w:r>
        <w:rPr>
          <w:rFonts w:hint="eastAsia" w:eastAsia="仿宋_GB2312"/>
          <w:sz w:val="24"/>
        </w:rPr>
        <w:t>持续规范固体废物和危险废物的管理，尾矿和废石全部贮存在标准场所内，危险废物全部委托转移处置。进一步规范各生产单位废机油、废油桶等的临时收集点，统一制作接油盘，设置危废标识，明确相关责任人及应急处置措施等。同时按照吉林省、州市生态环境部门危废管理要求，充分利用网上信息管理平台做好危废转移联单审批及处置工作，健全完善相关台账记录。</w:t>
      </w:r>
    </w:p>
    <w:p>
      <w:pPr>
        <w:spacing w:before="152" w:after="152"/>
        <w:ind w:firstLine="480"/>
        <w:rPr>
          <w:rFonts w:eastAsia="仿宋_GB2312"/>
          <w:sz w:val="24"/>
        </w:rPr>
      </w:pPr>
      <w:r>
        <w:rPr>
          <w:rFonts w:hint="eastAsia" w:eastAsia="仿宋_GB2312"/>
          <w:sz w:val="24"/>
        </w:rPr>
        <w:t>（8）按照“开发一片、稳定一片、治理一片、成效一片”的原则，及时做好北山露天矿1#排土场515m、425m平台和边坡的生态恢复工作，在2020年已经完成515m台阶覆土的基础上，做好边坡覆土和防护挡墙、铺设土工格栅、种植柳树、点撒种植草籽。</w:t>
      </w:r>
    </w:p>
    <w:p>
      <w:pPr>
        <w:spacing w:before="114" w:beforeLines="30" w:after="114" w:afterLines="30"/>
        <w:ind w:firstLine="480"/>
        <w:rPr>
          <w:rFonts w:eastAsia="仿宋_GB2312"/>
          <w:sz w:val="24"/>
        </w:rPr>
        <w:sectPr>
          <w:pgSz w:w="11906" w:h="16838"/>
          <w:pgMar w:top="1418" w:right="1418" w:bottom="1418" w:left="1418" w:header="851" w:footer="992" w:gutter="0"/>
          <w:cols w:space="720" w:num="1"/>
          <w:docGrid w:type="lines" w:linePitch="381" w:charSpace="0"/>
        </w:sectPr>
      </w:pPr>
    </w:p>
    <w:p>
      <w:pPr>
        <w:pStyle w:val="2"/>
        <w:spacing w:beforeLines="0" w:afterLines="0" w:line="240" w:lineRule="auto"/>
        <w:rPr>
          <w:b w:val="0"/>
          <w:sz w:val="30"/>
          <w:szCs w:val="30"/>
        </w:rPr>
      </w:pPr>
      <w:bookmarkStart w:id="74" w:name="_Toc66281455"/>
      <w:bookmarkStart w:id="75" w:name="_Toc441676856"/>
      <w:r>
        <w:rPr>
          <w:rFonts w:hint="eastAsia"/>
          <w:b w:val="0"/>
          <w:sz w:val="30"/>
          <w:szCs w:val="30"/>
        </w:rPr>
        <w:t xml:space="preserve">9 </w:t>
      </w:r>
      <w:bookmarkEnd w:id="65"/>
      <w:bookmarkEnd w:id="66"/>
      <w:bookmarkEnd w:id="67"/>
      <w:bookmarkEnd w:id="68"/>
      <w:bookmarkEnd w:id="69"/>
      <w:r>
        <w:rPr>
          <w:rFonts w:hint="eastAsia"/>
          <w:b w:val="0"/>
          <w:sz w:val="30"/>
          <w:szCs w:val="30"/>
        </w:rPr>
        <w:t>附件</w:t>
      </w:r>
      <w:bookmarkEnd w:id="74"/>
      <w:bookmarkEnd w:id="75"/>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1-1</w:t>
      </w:r>
      <w:r>
        <w:rPr>
          <w:rFonts w:hint="eastAsia" w:eastAsia="仿宋_GB2312"/>
          <w:sz w:val="24"/>
        </w:rPr>
        <w:t>：珲春紫金矿业有限公司</w:t>
      </w:r>
      <w:r>
        <w:rPr>
          <w:rFonts w:eastAsia="仿宋_GB2312"/>
          <w:sz w:val="24"/>
        </w:rPr>
        <w:t>4000</w:t>
      </w:r>
      <w:r>
        <w:rPr>
          <w:rFonts w:hint="eastAsia" w:eastAsia="仿宋_GB2312"/>
          <w:sz w:val="24"/>
        </w:rPr>
        <w:t>吨</w:t>
      </w:r>
      <w:r>
        <w:rPr>
          <w:rFonts w:eastAsia="仿宋_GB2312"/>
          <w:sz w:val="24"/>
        </w:rPr>
        <w:t>/</w:t>
      </w:r>
      <w:r>
        <w:rPr>
          <w:rFonts w:hint="eastAsia" w:eastAsia="仿宋_GB2312"/>
          <w:sz w:val="24"/>
        </w:rPr>
        <w:t>日金铜选冶改扩建项目（采选部分）项目环评批复；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1-2</w:t>
      </w:r>
      <w:r>
        <w:rPr>
          <w:rFonts w:hint="eastAsia" w:eastAsia="仿宋_GB2312"/>
          <w:sz w:val="24"/>
        </w:rPr>
        <w:t>：珲春紫金矿业有限公司</w:t>
      </w:r>
      <w:r>
        <w:rPr>
          <w:rFonts w:eastAsia="仿宋_GB2312"/>
          <w:sz w:val="24"/>
        </w:rPr>
        <w:t>4000</w:t>
      </w:r>
      <w:r>
        <w:rPr>
          <w:rFonts w:hint="eastAsia" w:eastAsia="仿宋_GB2312"/>
          <w:sz w:val="24"/>
        </w:rPr>
        <w:t>吨</w:t>
      </w:r>
      <w:r>
        <w:rPr>
          <w:rFonts w:eastAsia="仿宋_GB2312"/>
          <w:sz w:val="24"/>
        </w:rPr>
        <w:t>/</w:t>
      </w:r>
      <w:r>
        <w:rPr>
          <w:rFonts w:hint="eastAsia" w:eastAsia="仿宋_GB2312"/>
          <w:sz w:val="24"/>
        </w:rPr>
        <w:t>日金铜选冶改扩建项目竣工环保验收意见；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2-1</w:t>
      </w:r>
      <w:r>
        <w:rPr>
          <w:rFonts w:hint="eastAsia" w:eastAsia="仿宋_GB2312"/>
          <w:sz w:val="24"/>
        </w:rPr>
        <w:t>：珲春紫金矿业有限公司曙光金铜矿</w:t>
      </w:r>
      <w:r>
        <w:rPr>
          <w:rFonts w:eastAsia="仿宋_GB2312"/>
          <w:sz w:val="24"/>
        </w:rPr>
        <w:t>9500t/d</w:t>
      </w:r>
      <w:r>
        <w:rPr>
          <w:rFonts w:hint="eastAsia" w:eastAsia="仿宋_GB2312"/>
          <w:sz w:val="24"/>
        </w:rPr>
        <w:t>改扩建项目环评批复；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2-2</w:t>
      </w:r>
      <w:r>
        <w:rPr>
          <w:rFonts w:hint="eastAsia" w:eastAsia="仿宋_GB2312"/>
          <w:sz w:val="24"/>
        </w:rPr>
        <w:t>：珲春紫金矿业有限公司曙光金铜矿</w:t>
      </w:r>
      <w:r>
        <w:rPr>
          <w:rFonts w:eastAsia="仿宋_GB2312"/>
          <w:sz w:val="24"/>
        </w:rPr>
        <w:t>9500t/d</w:t>
      </w:r>
      <w:r>
        <w:rPr>
          <w:rFonts w:hint="eastAsia" w:eastAsia="仿宋_GB2312"/>
          <w:sz w:val="24"/>
        </w:rPr>
        <w:t>改扩建项目竣工环保验收意见；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3-1</w:t>
      </w:r>
      <w:r>
        <w:rPr>
          <w:rFonts w:hint="eastAsia" w:eastAsia="仿宋_GB2312"/>
          <w:sz w:val="24"/>
        </w:rPr>
        <w:t>：珲春紫金矿业有限公司曙光金铜矿废石综合利用项目环评批复；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3-2</w:t>
      </w:r>
      <w:r>
        <w:rPr>
          <w:rFonts w:hint="eastAsia" w:eastAsia="仿宋_GB2312"/>
          <w:sz w:val="24"/>
        </w:rPr>
        <w:t>：珲春紫金矿业有限公司曙光金铜矿废石综合利用项目竣工环保验收意见；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4-1</w:t>
      </w:r>
      <w:r>
        <w:rPr>
          <w:rFonts w:hint="eastAsia" w:eastAsia="仿宋_GB2312"/>
          <w:sz w:val="24"/>
        </w:rPr>
        <w:t>：珲春紫金矿业有限公司</w:t>
      </w:r>
      <w:r>
        <w:rPr>
          <w:rFonts w:eastAsia="仿宋_GB2312"/>
          <w:sz w:val="24"/>
        </w:rPr>
        <w:t>200m</w:t>
      </w:r>
      <w:r>
        <w:rPr>
          <w:rFonts w:eastAsia="仿宋_GB2312"/>
          <w:sz w:val="24"/>
          <w:vertAlign w:val="superscript"/>
        </w:rPr>
        <w:t>3</w:t>
      </w:r>
      <w:r>
        <w:rPr>
          <w:rFonts w:eastAsia="仿宋_GB2312"/>
          <w:sz w:val="24"/>
        </w:rPr>
        <w:t>/d</w:t>
      </w:r>
      <w:r>
        <w:rPr>
          <w:rFonts w:hint="eastAsia" w:eastAsia="仿宋_GB2312"/>
          <w:sz w:val="24"/>
        </w:rPr>
        <w:t>生活污水生态处理工程环评批复；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4-</w:t>
      </w:r>
      <w:r>
        <w:rPr>
          <w:rFonts w:hint="eastAsia" w:eastAsia="仿宋_GB2312"/>
          <w:sz w:val="24"/>
        </w:rPr>
        <w:t>2：珲春紫金矿业有限公司</w:t>
      </w:r>
      <w:r>
        <w:rPr>
          <w:rFonts w:eastAsia="仿宋_GB2312"/>
          <w:sz w:val="24"/>
        </w:rPr>
        <w:t>200m</w:t>
      </w:r>
      <w:r>
        <w:rPr>
          <w:rFonts w:eastAsia="仿宋_GB2312"/>
          <w:sz w:val="24"/>
          <w:vertAlign w:val="superscript"/>
        </w:rPr>
        <w:t>3</w:t>
      </w:r>
      <w:r>
        <w:rPr>
          <w:rFonts w:eastAsia="仿宋_GB2312"/>
          <w:sz w:val="24"/>
        </w:rPr>
        <w:t>/d</w:t>
      </w:r>
      <w:r>
        <w:rPr>
          <w:rFonts w:hint="eastAsia" w:eastAsia="仿宋_GB2312"/>
          <w:sz w:val="24"/>
        </w:rPr>
        <w:t>生活污水生态处理工程验收意见；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5</w:t>
      </w:r>
      <w:r>
        <w:rPr>
          <w:rFonts w:hint="eastAsia" w:eastAsia="仿宋_GB2312"/>
          <w:sz w:val="24"/>
        </w:rPr>
        <w:t>：珲春紫金矿业有限公司曙光金铜矿</w:t>
      </w:r>
      <w:r>
        <w:rPr>
          <w:rFonts w:eastAsia="仿宋_GB2312"/>
          <w:sz w:val="24"/>
        </w:rPr>
        <w:t>9500t/d</w:t>
      </w:r>
      <w:r>
        <w:rPr>
          <w:rFonts w:hint="eastAsia" w:eastAsia="仿宋_GB2312"/>
          <w:sz w:val="24"/>
        </w:rPr>
        <w:t>改扩建项目尾矿库副坝及排水工程环评批复；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附件6</w:t>
      </w:r>
      <w:r>
        <w:rPr>
          <w:rFonts w:eastAsia="仿宋_GB2312"/>
          <w:sz w:val="24"/>
        </w:rPr>
        <w:t>-1</w:t>
      </w:r>
      <w:r>
        <w:rPr>
          <w:rFonts w:hint="eastAsia" w:eastAsia="仿宋_GB2312"/>
          <w:sz w:val="24"/>
        </w:rPr>
        <w:t>：珲春紫金矿业有限公司锅炉改造建设项目环评批复；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附件6</w:t>
      </w:r>
      <w:r>
        <w:rPr>
          <w:rFonts w:eastAsia="仿宋_GB2312"/>
          <w:sz w:val="24"/>
        </w:rPr>
        <w:t>-2</w:t>
      </w:r>
      <w:r>
        <w:rPr>
          <w:rFonts w:hint="eastAsia" w:eastAsia="仿宋_GB2312"/>
          <w:sz w:val="24"/>
        </w:rPr>
        <w:t>：珲春紫金矿业有限公司锅炉改造建设项目验收意见；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附件7</w:t>
      </w:r>
      <w:r>
        <w:rPr>
          <w:rFonts w:eastAsia="仿宋_GB2312"/>
          <w:sz w:val="24"/>
        </w:rPr>
        <w:t>-1</w:t>
      </w:r>
      <w:r>
        <w:rPr>
          <w:rFonts w:hint="eastAsia" w:eastAsia="仿宋_GB2312"/>
          <w:sz w:val="24"/>
        </w:rPr>
        <w:t>：珲春紫金矿业有限公司危险废物贮存库建设项目环评批复；</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附件7</w:t>
      </w:r>
      <w:r>
        <w:rPr>
          <w:rFonts w:eastAsia="仿宋_GB2312"/>
          <w:sz w:val="24"/>
        </w:rPr>
        <w:t>-2</w:t>
      </w:r>
      <w:r>
        <w:rPr>
          <w:rFonts w:hint="eastAsia" w:eastAsia="仿宋_GB2312"/>
          <w:sz w:val="24"/>
        </w:rPr>
        <w:t>：珲春紫金矿业有限公司危险废物贮存库建设项目验收意见；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附件8：排污许可证；</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附件9：突发环境事件应急预案备案表；</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1</w:t>
      </w:r>
      <w:r>
        <w:rPr>
          <w:rFonts w:hint="eastAsia" w:eastAsia="仿宋_GB2312"/>
          <w:sz w:val="24"/>
        </w:rPr>
        <w:t>0：清洁生产审核报告评估意见和验收意见（第五轮）；</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1</w:t>
      </w:r>
      <w:r>
        <w:rPr>
          <w:rFonts w:hint="eastAsia" w:eastAsia="仿宋_GB2312"/>
          <w:sz w:val="24"/>
        </w:rPr>
        <w:t>1：危险废物处置协议及相关资质；</w:t>
      </w:r>
    </w:p>
    <w:p>
      <w:pPr>
        <w:pStyle w:val="9"/>
        <w:tabs>
          <w:tab w:val="right" w:leader="dot" w:pos="8296"/>
        </w:tabs>
        <w:snapToGrid w:val="0"/>
        <w:spacing w:beforeLines="0" w:afterLines="0"/>
        <w:ind w:left="0" w:leftChars="0" w:firstLine="0" w:firstLineChars="0"/>
        <w:rPr>
          <w:rFonts w:eastAsia="仿宋_GB2312"/>
          <w:sz w:val="24"/>
        </w:rPr>
      </w:pPr>
      <w:r>
        <w:rPr>
          <w:rFonts w:hint="eastAsia" w:eastAsia="仿宋_GB2312"/>
          <w:sz w:val="24"/>
        </w:rPr>
        <w:t>附件</w:t>
      </w:r>
      <w:r>
        <w:rPr>
          <w:rFonts w:eastAsia="仿宋_GB2312"/>
          <w:sz w:val="24"/>
        </w:rPr>
        <w:t>1</w:t>
      </w:r>
      <w:r>
        <w:rPr>
          <w:rFonts w:hint="eastAsia" w:eastAsia="仿宋_GB2312"/>
          <w:sz w:val="24"/>
        </w:rPr>
        <w:t>2：监测报告（部分）。</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96" w:after="9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spacing w:before="96" w:after="96"/>
      <w:ind w:firstLine="360"/>
      <w:rPr>
        <w:rStyle w:val="13"/>
      </w:rPr>
    </w:pPr>
    <w:r>
      <w:fldChar w:fldCharType="begin"/>
    </w:r>
    <w:r>
      <w:rPr>
        <w:rStyle w:val="13"/>
      </w:rPr>
      <w:instrText xml:space="preserve">PAGE  </w:instrText>
    </w:r>
    <w:r>
      <w:fldChar w:fldCharType="separate"/>
    </w:r>
    <w:r>
      <w:rPr>
        <w:rStyle w:val="13"/>
      </w:rPr>
      <w:t>8</w:t>
    </w:r>
    <w:r>
      <w:fldChar w:fldCharType="end"/>
    </w:r>
  </w:p>
  <w:p>
    <w:pPr>
      <w:pStyle w:val="6"/>
      <w:spacing w:before="96" w:after="96"/>
      <w:ind w:left="210" w:right="21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96" w:after="9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Lines="0" w:afterLines="0"/>
      <w:ind w:firstLine="0" w:firstLineChars="0"/>
      <w:jc w:val="center"/>
    </w:pPr>
    <w:r>
      <w:fldChar w:fldCharType="begin"/>
    </w:r>
    <w:r>
      <w:instrText xml:space="preserve"> PAGE   \* MERGEFORMAT </w:instrText>
    </w:r>
    <w:r>
      <w:fldChar w:fldCharType="separate"/>
    </w:r>
    <w:r>
      <w:rPr>
        <w:lang w:val="zh-CN"/>
      </w:rPr>
      <w:t>9</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before="96" w:after="96"/>
      <w:ind w:firstLine="360"/>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96" w:after="9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96" w:after="9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4" w:space="1"/>
      </w:pBdr>
      <w:spacing w:before="96" w:after="96"/>
      <w:ind w:firstLine="384"/>
      <w:rPr>
        <w:rFonts w:ascii="宋体" w:hAnsi="宋体"/>
      </w:rPr>
    </w:pPr>
    <w:r>
      <w:rPr>
        <w:rFonts w:hint="eastAsia" w:ascii="宋体" w:hAnsi="宋体"/>
        <w:spacing w:val="6"/>
      </w:rPr>
      <w:t>珲春紫金矿业有限公司曙光金铜矿</w:t>
    </w:r>
    <w:r>
      <w:rPr>
        <w:rFonts w:hint="eastAsia" w:ascii="宋体" w:hAnsi="宋体"/>
      </w:rPr>
      <w:t>环境信息公开报告（</w:t>
    </w:r>
    <w:r>
      <w:rPr>
        <w:rFonts w:hint="eastAsia"/>
      </w:rPr>
      <w:t>2020</w:t>
    </w:r>
    <w:r>
      <w:rPr>
        <w:rFonts w:hint="eastAsia" w:ascii="宋体" w:hAnsi="宋体"/>
      </w:rPr>
      <w:t>年度）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4" w:space="1"/>
      </w:pBdr>
      <w:spacing w:before="96" w:after="96"/>
      <w:ind w:firstLine="384"/>
      <w:rPr>
        <w:rFonts w:ascii="宋体" w:hAnsi="宋体"/>
      </w:rPr>
    </w:pPr>
    <w:r>
      <w:rPr>
        <w:rFonts w:hint="eastAsia" w:ascii="宋体" w:hAnsi="宋体"/>
        <w:spacing w:val="6"/>
      </w:rPr>
      <w:t>珲春紫金矿业有限公司曙光金铜矿</w:t>
    </w:r>
    <w:r>
      <w:rPr>
        <w:rFonts w:hint="eastAsia" w:ascii="宋体" w:hAnsi="宋体"/>
      </w:rPr>
      <w:t>环境信息公开报告（</w:t>
    </w:r>
    <w:r>
      <w:rPr>
        <w:rFonts w:hint="eastAsia"/>
      </w:rPr>
      <w:t>2020</w:t>
    </w:r>
    <w:r>
      <w:rPr>
        <w:rFonts w:hint="eastAsia" w:ascii="宋体" w:hAnsi="宋体"/>
      </w:rPr>
      <w:t>年度）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021A71"/>
    <w:rsid w:val="31021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40" w:afterLines="40"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2">
    <w:name w:val="heading 1"/>
    <w:basedOn w:val="1"/>
    <w:next w:val="1"/>
    <w:qFormat/>
    <w:uiPriority w:val="0"/>
    <w:pPr>
      <w:keepNext/>
      <w:keepLines/>
      <w:ind w:firstLine="0" w:firstLineChars="0"/>
      <w:outlineLvl w:val="0"/>
    </w:pPr>
    <w:rPr>
      <w:rFonts w:eastAsia="黑体"/>
      <w:b/>
      <w:bCs/>
      <w:kern w:val="44"/>
      <w:sz w:val="32"/>
      <w:szCs w:val="21"/>
    </w:rPr>
  </w:style>
  <w:style w:type="paragraph" w:styleId="3">
    <w:name w:val="heading 2"/>
    <w:basedOn w:val="1"/>
    <w:next w:val="1"/>
    <w:qFormat/>
    <w:uiPriority w:val="9"/>
    <w:pPr>
      <w:keepNext/>
      <w:keepLines/>
      <w:spacing w:before="152" w:after="152" w:line="416" w:lineRule="auto"/>
      <w:ind w:firstLine="0" w:firstLineChars="0"/>
      <w:outlineLvl w:val="1"/>
    </w:pPr>
    <w:rPr>
      <w:bCs/>
      <w:color w:val="000000"/>
      <w:szCs w:val="28"/>
    </w:rPr>
  </w:style>
  <w:style w:type="paragraph" w:styleId="4">
    <w:name w:val="heading 3"/>
    <w:basedOn w:val="1"/>
    <w:next w:val="1"/>
    <w:qFormat/>
    <w:uiPriority w:val="9"/>
    <w:pPr>
      <w:keepNext/>
      <w:keepLines/>
      <w:spacing w:beforeLines="0" w:afterLines="0"/>
      <w:ind w:firstLine="0" w:firstLineChars="0"/>
      <w:outlineLvl w:val="2"/>
    </w:pPr>
    <w:rPr>
      <w:rFonts w:eastAsia="黑体"/>
      <w:bCs/>
      <w:sz w:val="24"/>
      <w:szCs w:val="24"/>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5">
    <w:name w:val="Plain Text"/>
    <w:basedOn w:val="1"/>
    <w:unhideWhenUsed/>
    <w:qFormat/>
    <w:uiPriority w:val="0"/>
    <w:pPr>
      <w:spacing w:beforeLines="0" w:afterLines="0" w:line="240" w:lineRule="auto"/>
      <w:ind w:firstLine="0" w:firstLineChars="0"/>
    </w:pPr>
    <w:rPr>
      <w:rFonts w:ascii="宋体" w:hAnsi="Courier New" w:cs="Courier New"/>
      <w:sz w:val="21"/>
      <w:szCs w:val="21"/>
    </w:rPr>
  </w:style>
  <w:style w:type="paragraph" w:styleId="6">
    <w:name w:val="footer"/>
    <w:basedOn w:val="1"/>
    <w:qFormat/>
    <w:uiPriority w:val="0"/>
    <w:pPr>
      <w:tabs>
        <w:tab w:val="center" w:pos="4153"/>
        <w:tab w:val="right" w:pos="8306"/>
      </w:tabs>
      <w:snapToGrid w:val="0"/>
      <w:jc w:val="left"/>
    </w:pPr>
    <w:rPr>
      <w:kern w:val="0"/>
      <w:sz w:val="18"/>
      <w:szCs w:val="18"/>
    </w:rPr>
  </w:style>
  <w:style w:type="paragraph" w:styleId="7">
    <w:name w:val="header"/>
    <w:basedOn w:val="1"/>
    <w:uiPriority w:val="99"/>
    <w:pPr>
      <w:pBdr>
        <w:bottom w:val="single" w:color="auto" w:sz="6" w:space="1"/>
      </w:pBdr>
      <w:tabs>
        <w:tab w:val="center" w:pos="4153"/>
        <w:tab w:val="right" w:pos="8306"/>
      </w:tabs>
      <w:snapToGrid w:val="0"/>
      <w:jc w:val="center"/>
    </w:pPr>
    <w:rPr>
      <w:kern w:val="0"/>
      <w:sz w:val="18"/>
      <w:szCs w:val="18"/>
    </w:rPr>
  </w:style>
  <w:style w:type="paragraph" w:styleId="8">
    <w:name w:val="toc 1"/>
    <w:basedOn w:val="1"/>
    <w:next w:val="1"/>
    <w:unhideWhenUsed/>
    <w:qFormat/>
    <w:uiPriority w:val="39"/>
    <w:pPr>
      <w:tabs>
        <w:tab w:val="right" w:leader="dot" w:pos="8296"/>
      </w:tabs>
      <w:spacing w:beforeLines="0" w:afterLines="0" w:line="276" w:lineRule="auto"/>
      <w:ind w:firstLine="0" w:firstLineChars="0"/>
    </w:pPr>
    <w:rPr>
      <w:b/>
      <w:sz w:val="24"/>
      <w:szCs w:val="24"/>
    </w:rPr>
  </w:style>
  <w:style w:type="paragraph" w:styleId="9">
    <w:name w:val="toc 2"/>
    <w:basedOn w:val="1"/>
    <w:next w:val="1"/>
    <w:unhideWhenUsed/>
    <w:qFormat/>
    <w:uiPriority w:val="39"/>
    <w:pPr>
      <w:ind w:left="420" w:leftChars="200"/>
    </w:pPr>
  </w:style>
  <w:style w:type="paragraph" w:styleId="10">
    <w:name w:val="Title"/>
    <w:basedOn w:val="1"/>
    <w:next w:val="1"/>
    <w:qFormat/>
    <w:uiPriority w:val="0"/>
    <w:pPr>
      <w:spacing w:beforeLines="50" w:afterLines="0" w:line="300" w:lineRule="auto"/>
      <w:ind w:firstLine="0" w:firstLineChars="0"/>
      <w:jc w:val="center"/>
    </w:pPr>
    <w:rPr>
      <w:rFonts w:eastAsia="黑体"/>
      <w:bCs/>
      <w:sz w:val="21"/>
      <w:szCs w:val="32"/>
    </w:rPr>
  </w:style>
  <w:style w:type="character" w:styleId="13">
    <w:name w:val="page number"/>
    <w:basedOn w:val="12"/>
    <w:qFormat/>
    <w:uiPriority w:val="0"/>
  </w:style>
  <w:style w:type="character" w:styleId="14">
    <w:name w:val="Hyperlink"/>
    <w:basedOn w:val="12"/>
    <w:unhideWhenUsed/>
    <w:qFormat/>
    <w:uiPriority w:val="99"/>
    <w:rPr>
      <w:color w:val="0000FF"/>
      <w:u w:val="single"/>
    </w:rPr>
  </w:style>
  <w:style w:type="paragraph" w:customStyle="1" w:styleId="15">
    <w:name w:val="TOC 标题1"/>
    <w:basedOn w:val="2"/>
    <w:next w:val="1"/>
    <w:qFormat/>
    <w:uiPriority w:val="39"/>
    <w:pPr>
      <w:widowControl/>
      <w:spacing w:beforeLines="0" w:afterLines="0" w:line="276" w:lineRule="auto"/>
      <w:jc w:val="left"/>
      <w:outlineLvl w:val="9"/>
    </w:pPr>
    <w:rPr>
      <w:rFonts w:ascii="Cambria" w:hAnsi="Cambria" w:eastAsia="宋体"/>
      <w:color w:val="365F91"/>
      <w:kern w:val="0"/>
      <w:sz w:val="28"/>
      <w:szCs w:val="28"/>
    </w:rPr>
  </w:style>
  <w:style w:type="paragraph" w:customStyle="1" w:styleId="16">
    <w:name w:val="表中文字"/>
    <w:basedOn w:val="1"/>
    <w:qFormat/>
    <w:uiPriority w:val="0"/>
    <w:pPr>
      <w:spacing w:line="280" w:lineRule="exact"/>
      <w:jc w:val="center"/>
    </w:pPr>
    <w:rPr>
      <w:rFonts w:ascii="宋体" w:hAnsi="宋体"/>
      <w:kern w:val="0"/>
      <w:sz w:val="18"/>
      <w:szCs w:val="18"/>
    </w:rPr>
  </w:style>
  <w:style w:type="paragraph" w:customStyle="1" w:styleId="17">
    <w:name w:val="表格样式1"/>
    <w:basedOn w:val="16"/>
    <w:qFormat/>
    <w:uiPriority w:val="0"/>
    <w:pPr>
      <w:adjustRightInd w:val="0"/>
      <w:snapToGrid w:val="0"/>
      <w:spacing w:line="240" w:lineRule="auto"/>
      <w:ind w:firstLine="0" w:firstLineChars="0"/>
    </w:pPr>
    <w:rPr>
      <w:rFonts w:ascii="黑体" w:eastAsia="黑体"/>
      <w:sz w:val="20"/>
      <w:szCs w:val="21"/>
    </w:rPr>
  </w:style>
  <w:style w:type="paragraph" w:customStyle="1" w:styleId="18">
    <w:name w:val="表头"/>
    <w:basedOn w:val="1"/>
    <w:qFormat/>
    <w:uiPriority w:val="0"/>
    <w:pPr>
      <w:jc w:val="center"/>
    </w:pPr>
    <w:rPr>
      <w:rFonts w:eastAsia="黑体"/>
      <w:snapToGrid w:val="0"/>
      <w:kern w:val="0"/>
      <w:sz w:val="20"/>
      <w:szCs w:val="21"/>
    </w:rPr>
  </w:style>
  <w:style w:type="paragraph" w:customStyle="1" w:styleId="19">
    <w:name w:val="表格样式"/>
    <w:basedOn w:val="16"/>
    <w:qFormat/>
    <w:uiPriority w:val="0"/>
    <w:pPr>
      <w:adjustRightInd w:val="0"/>
      <w:snapToGrid w:val="0"/>
      <w:spacing w:before="40" w:after="40" w:line="240" w:lineRule="auto"/>
      <w:ind w:firstLine="0" w:firstLineChars="0"/>
    </w:pPr>
    <w:rPr>
      <w:rFonts w:ascii="黑体" w:eastAsia="黑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2021-04-03T02:10:00Z</dcterms:created>
  <dc:creator>孟丽新</dc:creator>
  <cp:lastModifiedBy>孟丽新</cp:lastModifiedBy>
  <dcterms:modified xsi:type="dcterms:W3CDTF">2021-04-03T02:12:27Z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FDEE2E066E8E463AA32B51066C22130C</vt:lpwstr>
  </property>
</Properties>
</file>